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41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bookmarkStart w:id="18" w:name="_GoBack"/>
      <w:bookmarkEnd w:id="18"/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393F9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p w14:paraId="3576401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宋体" w:eastAsia="方正小标宋简体" w:cs="Times New Roman"/>
          <w:color w:val="000000"/>
          <w:sz w:val="36"/>
          <w:szCs w:val="36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color w:val="000000"/>
          <w:sz w:val="36"/>
          <w:szCs w:val="36"/>
          <w:lang w:val="en-US" w:eastAsia="zh-CN" w:bidi="ar-SA"/>
        </w:rPr>
        <w:t>德阳市疾病预防控制中心（德阳市卫生监督所）</w:t>
      </w:r>
    </w:p>
    <w:p w14:paraId="7EF4340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宋体" w:eastAsia="方正小标宋简体" w:cs="Times New Roman"/>
          <w:color w:val="000000"/>
          <w:sz w:val="36"/>
          <w:szCs w:val="36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color w:val="000000"/>
          <w:sz w:val="36"/>
          <w:szCs w:val="36"/>
          <w:lang w:val="en-US" w:eastAsia="zh-CN" w:bidi="ar-SA"/>
        </w:rPr>
        <w:t>2026年德阳市血吸虫病风险监测服务项目采购</w:t>
      </w:r>
    </w:p>
    <w:p w14:paraId="1484B95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宋体" w:eastAsia="方正小标宋简体" w:cs="Times New Roman"/>
          <w:color w:val="000000"/>
          <w:sz w:val="36"/>
          <w:szCs w:val="36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color w:val="000000"/>
          <w:sz w:val="36"/>
          <w:szCs w:val="36"/>
          <w:lang w:val="en-US" w:eastAsia="zh-CN" w:bidi="ar-SA"/>
        </w:rPr>
        <w:t>投标材料</w:t>
      </w:r>
    </w:p>
    <w:p w14:paraId="42C757C2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jc w:val="center"/>
        <w:rPr>
          <w:rFonts w:ascii="宋体" w:hAnsi="宋体"/>
          <w:b/>
          <w:sz w:val="44"/>
          <w:szCs w:val="44"/>
        </w:rPr>
      </w:pPr>
    </w:p>
    <w:p w14:paraId="747E91CD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jc w:val="center"/>
        <w:rPr>
          <w:rFonts w:ascii="宋体" w:hAnsi="宋体"/>
          <w:b/>
          <w:sz w:val="44"/>
          <w:szCs w:val="44"/>
        </w:rPr>
      </w:pPr>
    </w:p>
    <w:p w14:paraId="36AC6DFE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rFonts w:ascii="宋体" w:hAnsi="宋体"/>
          <w:b/>
          <w:sz w:val="44"/>
          <w:szCs w:val="44"/>
        </w:rPr>
      </w:pPr>
    </w:p>
    <w:p w14:paraId="10048151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rFonts w:ascii="宋体" w:hAnsi="宋体"/>
          <w:b/>
          <w:sz w:val="44"/>
          <w:szCs w:val="44"/>
        </w:rPr>
      </w:pPr>
    </w:p>
    <w:p w14:paraId="17E1C450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rFonts w:ascii="宋体" w:hAnsi="宋体"/>
          <w:b/>
          <w:sz w:val="44"/>
          <w:szCs w:val="44"/>
        </w:rPr>
      </w:pPr>
    </w:p>
    <w:p w14:paraId="4A71EE4D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rFonts w:ascii="宋体" w:hAnsi="宋体"/>
          <w:b/>
          <w:sz w:val="44"/>
          <w:szCs w:val="44"/>
        </w:rPr>
      </w:pPr>
    </w:p>
    <w:p w14:paraId="0FCFD385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供应商名称（盖章）：</w:t>
      </w:r>
    </w:p>
    <w:p w14:paraId="32F25D19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rFonts w:ascii="仿宋_GB2312" w:hAnsi="宋体" w:eastAsia="仿宋_GB2312"/>
          <w:sz w:val="32"/>
          <w:szCs w:val="32"/>
        </w:rPr>
      </w:pPr>
    </w:p>
    <w:p w14:paraId="16EA6260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总报价：</w:t>
      </w:r>
    </w:p>
    <w:p w14:paraId="38CCABA2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rFonts w:ascii="仿宋_GB2312" w:hAnsi="宋体" w:eastAsia="仿宋_GB2312"/>
          <w:sz w:val="32"/>
          <w:szCs w:val="32"/>
        </w:rPr>
      </w:pPr>
    </w:p>
    <w:p w14:paraId="1EE12684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报送时间：</w:t>
      </w:r>
    </w:p>
    <w:p w14:paraId="3E8F666D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rFonts w:ascii="仿宋_GB2312" w:hAnsi="宋体" w:eastAsia="仿宋_GB2312" w:cs="宋体"/>
          <w:sz w:val="32"/>
          <w:szCs w:val="32"/>
        </w:rPr>
      </w:pPr>
    </w:p>
    <w:p w14:paraId="1E594096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rFonts w:ascii="仿宋_GB2312" w:hAnsi="宋体" w:eastAsia="仿宋_GB2312" w:cs="宋体"/>
          <w:sz w:val="32"/>
          <w:szCs w:val="32"/>
        </w:rPr>
      </w:pPr>
    </w:p>
    <w:p w14:paraId="610F7DED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rFonts w:ascii="方正小标宋简体" w:hAnsi="宋体" w:eastAsia="方正小标宋简体" w:cs="宋体"/>
          <w:bCs/>
          <w:sz w:val="32"/>
          <w:szCs w:val="32"/>
        </w:rPr>
      </w:pPr>
      <w:r>
        <w:rPr>
          <w:rFonts w:hint="eastAsia" w:ascii="方正小标宋简体" w:hAnsi="宋体" w:eastAsia="方正小标宋简体" w:cs="宋体"/>
          <w:bCs/>
          <w:sz w:val="32"/>
          <w:szCs w:val="32"/>
        </w:rPr>
        <w:br w:type="page"/>
      </w:r>
    </w:p>
    <w:p w14:paraId="2A5ED9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 w14:paraId="7006BEB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4" w:lineRule="exact"/>
        <w:jc w:val="center"/>
        <w:textAlignment w:val="auto"/>
        <w:rPr>
          <w:rFonts w:hint="eastAsia" w:hAnsi="宋体"/>
          <w:b/>
          <w:sz w:val="44"/>
          <w:szCs w:val="44"/>
        </w:rPr>
      </w:pPr>
    </w:p>
    <w:p w14:paraId="13C0174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方正小标宋简体" w:hAnsi="宋体" w:eastAsia="方正小标宋简体" w:cs="Times New Roman"/>
          <w:color w:val="000000"/>
          <w:sz w:val="36"/>
          <w:szCs w:val="36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color w:val="000000"/>
          <w:sz w:val="36"/>
          <w:szCs w:val="36"/>
          <w:lang w:val="en-US" w:eastAsia="zh-CN" w:bidi="ar-SA"/>
        </w:rPr>
        <w:t>德阳市疾病预防控制中心（德阳市卫生监督所）</w:t>
      </w:r>
    </w:p>
    <w:p w14:paraId="4B4ADCA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宋体" w:eastAsia="方正小标宋简体" w:cs="Times New Roman"/>
          <w:color w:val="000000"/>
          <w:sz w:val="36"/>
          <w:szCs w:val="36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color w:val="000000"/>
          <w:sz w:val="36"/>
          <w:szCs w:val="36"/>
          <w:lang w:val="en-US" w:eastAsia="zh-CN" w:bidi="ar-SA"/>
        </w:rPr>
        <w:t>2026年德阳市血吸虫病风险监测服务项目要求</w:t>
      </w:r>
    </w:p>
    <w:p w14:paraId="6DC285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4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sz w:val="32"/>
          <w:szCs w:val="32"/>
        </w:rPr>
      </w:pPr>
    </w:p>
    <w:p w14:paraId="11FF0F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4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甲方：德阳市疾病预防控制中心（德阳市卫生监督所）</w:t>
      </w:r>
    </w:p>
    <w:p w14:paraId="010C8E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4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地址：四川省德阳市旌阳区千山街一段1号</w:t>
      </w:r>
    </w:p>
    <w:p w14:paraId="59CA26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firstLine="64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3B2E9B5F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 xml:space="preserve">依据《中华人民共和国民法典》与项目行业有关的法律法规，甲、乙双方同意签订本合同。合同附件及本项目的实施方案等均为本合同的组成部分。 </w:t>
      </w:r>
    </w:p>
    <w:p w14:paraId="060B6B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594" w:lineRule="exact"/>
        <w:ind w:firstLine="640" w:firstLineChars="200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 w:bidi="ar-SA"/>
        </w:rPr>
        <w:t>服务项目：2026年德阳市血吸虫病风险监测专项调查—野鼠监测。</w:t>
      </w:r>
    </w:p>
    <w:p w14:paraId="27B47C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firstLine="64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二、合同期限</w:t>
      </w:r>
    </w:p>
    <w:p w14:paraId="5223C5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4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2026年10月</w:t>
      </w:r>
      <w:r>
        <w:rPr>
          <w:rFonts w:hint="eastAsia" w:ascii="仿宋_GB2312" w:hAnsi="宋体" w:eastAsia="仿宋_GB2312" w:cs="宋体"/>
          <w:sz w:val="32"/>
          <w:szCs w:val="32"/>
        </w:rPr>
        <w:t>至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11月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</w:p>
    <w:p w14:paraId="3ADADB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firstLine="64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Toc225244852"/>
      <w:bookmarkStart w:id="1" w:name="_Toc247334841"/>
      <w:bookmarkStart w:id="2" w:name="_Toc239233914"/>
      <w:bookmarkStart w:id="3" w:name="_Toc239568418"/>
      <w:bookmarkStart w:id="4" w:name="_Toc286993786"/>
      <w:bookmarkStart w:id="5" w:name="_Toc225654644"/>
      <w:bookmarkStart w:id="6" w:name="_Toc238984975"/>
      <w:bookmarkStart w:id="7" w:name="_Toc232492928"/>
      <w:bookmarkStart w:id="8" w:name="_Toc185395249"/>
      <w:bookmarkStart w:id="9" w:name="_Toc212019594"/>
      <w:bookmarkStart w:id="10" w:name="_Toc283019214"/>
      <w:bookmarkStart w:id="11" w:name="_Toc211911348"/>
      <w:bookmarkStart w:id="12" w:name="_Toc237145406"/>
      <w:bookmarkStart w:id="13" w:name="_Toc225670751"/>
      <w:bookmarkStart w:id="14" w:name="_Toc211854449"/>
      <w:bookmarkStart w:id="15" w:name="_Toc282696226"/>
      <w:bookmarkStart w:id="16" w:name="_Toc251768862"/>
      <w:bookmarkStart w:id="17" w:name="_Toc241833903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三、服务内容</w:t>
      </w:r>
    </w:p>
    <w:p w14:paraId="197545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firstLine="640"/>
        <w:jc w:val="left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野鼠监测：</w:t>
      </w:r>
      <w:r>
        <w:rPr>
          <w:rFonts w:hint="eastAsia" w:ascii="仿宋_GB2312" w:hAnsi="宋体" w:eastAsia="仿宋_GB2312" w:cs="宋体"/>
          <w:sz w:val="32"/>
          <w:szCs w:val="32"/>
        </w:rPr>
        <w:t>1）行政村选择：结合《全国血吸虫病监测方案（2025年版）》要求，拟在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我市6个区（市、县）开展野鼠调查</w:t>
      </w:r>
      <w:r>
        <w:rPr>
          <w:rFonts w:hint="eastAsia" w:ascii="仿宋_GB2312" w:hAnsi="宋体" w:eastAsia="仿宋_GB2312" w:cs="宋体"/>
          <w:sz w:val="32"/>
          <w:szCs w:val="32"/>
        </w:rPr>
        <w:t>。按照钉螺密度分层抽取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各区（市、县）行政村两个</w:t>
      </w:r>
      <w:r>
        <w:rPr>
          <w:rFonts w:hint="eastAsia" w:ascii="仿宋_GB2312" w:hAnsi="宋体" w:eastAsia="仿宋_GB2312" w:cs="宋体"/>
          <w:sz w:val="32"/>
          <w:szCs w:val="32"/>
        </w:rPr>
        <w:t>。优先选择至少符合下述一种情况的行政村：1.历史疫情较重或有所回升，如：上一年的新发有螺环境、有血吸虫病传播风险的环境、钉螺面积与密度回升的环境、人与畜血吸虫感染率或抗体阳性率较高的地区；2.水灾、地震等自然灾害导致环境变化；3.大型水利、交通等工程建设引起环境变化；4.大规模人群迁徙或流动可能导致血吸虫病疫情。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每个行政村至少选择两处人、畜可及的有螺环境或钉螺孳生可疑环境，采用夹（笼）夜法捕捉野鼠。</w:t>
      </w:r>
    </w:p>
    <w:p w14:paraId="305FAB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4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2）调查时间：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2026年10月至11月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</w:p>
    <w:p w14:paraId="3DA1AE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4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3）鼠夹（笼）数量：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每个行政村放置鼠夹（笼）至少500 只，</w:t>
      </w:r>
      <w:r>
        <w:rPr>
          <w:rFonts w:hint="eastAsia" w:ascii="仿宋_GB2312" w:hAnsi="宋体" w:eastAsia="仿宋_GB2312" w:cs="宋体"/>
          <w:sz w:val="32"/>
          <w:szCs w:val="32"/>
        </w:rPr>
        <w:t>优先选择具有新鲜鼠洞、鼠类活动频繁迹象的环境布放工具。在选定的环境中沿直线或田埂、沟渠等自然地形按每5-10m布放1只，行间距 20-50m，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在相同的环境中连续捕捉3天。</w:t>
      </w:r>
      <w:r>
        <w:rPr>
          <w:rFonts w:hint="eastAsia" w:ascii="仿宋_GB2312" w:hAnsi="宋体" w:eastAsia="仿宋_GB2312" w:cs="宋体"/>
          <w:sz w:val="32"/>
          <w:szCs w:val="32"/>
        </w:rPr>
        <w:t>收夹（笼）时，观察捕获的野鼠状态。</w:t>
      </w:r>
    </w:p>
    <w:p w14:paraId="1ACD5D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4" w:lineRule="exact"/>
        <w:ind w:firstLine="640" w:firstLineChars="200"/>
        <w:jc w:val="left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4）记录捕获鼠的基本信息：包括重量、性别、体长、尾长和耳长等，并对野鼠进行形态学鉴定。</w:t>
      </w:r>
    </w:p>
    <w:p w14:paraId="130B59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、质量标准及要求</w:t>
      </w:r>
    </w:p>
    <w:p w14:paraId="3E26FC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乙方提供的服务应符合《全国血吸虫病监测方案（2025年版）》的要求，且不得低于该方案规定的标准。乙方应确保每个区（市、县）捕获野鼠数量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不低于50只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，全市6个区（市、县）捕获野鼠总数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不低于300只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若捕获数量未达到上述要求，乙方应继续开展相关工作，直至达到最低数量标准，由此产生的全部费用由乙方自行承担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。</w:t>
      </w:r>
    </w:p>
    <w:p w14:paraId="78A211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firstLine="64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、服务费用及支付方式</w:t>
      </w:r>
    </w:p>
    <w:p w14:paraId="7C8F64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1.本项目服务费不超过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49000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元（大写：不超过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肆万玖仟元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）</w:t>
      </w:r>
    </w:p>
    <w:p w14:paraId="1069E0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服务费支付：乙方按约定提供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服务，服务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费用支付方式由合同约定。</w:t>
      </w:r>
    </w:p>
    <w:p w14:paraId="48C7BC8F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0DF23F8F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0551DC01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7C7C055F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60565434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00A8B335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66C6DE3B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4B5E1624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425494A9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10AC2546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3A1EA50C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6E83153B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2BFA481F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6487CFF3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5FAAE6C3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1B8644AB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5AEEA72D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p w14:paraId="1C947C0D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jc w:val="both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p w14:paraId="6E43BA13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jc w:val="both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p w14:paraId="565A6FBC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jc w:val="both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p w14:paraId="419E63FD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94" w:lineRule="exact"/>
        <w:jc w:val="both"/>
        <w:rPr>
          <w:rFonts w:hint="eastAsia" w:ascii="黑体" w:hAnsi="黑体" w:eastAsia="黑体" w:cs="黑体"/>
          <w:bCs/>
          <w:sz w:val="32"/>
          <w:szCs w:val="32"/>
        </w:rPr>
      </w:pPr>
    </w:p>
    <w:p w14:paraId="14960F6C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94" w:lineRule="exact"/>
        <w:jc w:val="both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3</w:t>
      </w:r>
    </w:p>
    <w:p w14:paraId="09265310">
      <w:pPr>
        <w:pStyle w:val="5"/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94" w:lineRule="exact"/>
        <w:jc w:val="center"/>
        <w:rPr>
          <w:rFonts w:hint="eastAsia" w:hAnsi="宋体"/>
          <w:b/>
          <w:sz w:val="44"/>
          <w:szCs w:val="44"/>
        </w:rPr>
      </w:pPr>
    </w:p>
    <w:p w14:paraId="52DF7E6C">
      <w:pPr>
        <w:pStyle w:val="5"/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94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德阳市疾病预防控制中心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德阳市卫生监督所）</w:t>
      </w:r>
    </w:p>
    <w:p w14:paraId="695136B3">
      <w:pPr>
        <w:pStyle w:val="5"/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94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2026年血吸虫病风险监测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服务项目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综合评分细则</w:t>
      </w:r>
    </w:p>
    <w:p w14:paraId="682C5A7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</w:p>
    <w:p w14:paraId="69D68A1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  <w:t>评分细则（按四舍五入取至百分位）：</w:t>
      </w:r>
    </w:p>
    <w:p w14:paraId="48678417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94" w:lineRule="exact"/>
        <w:ind w:firstLine="64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价格分（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20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分）</w:t>
      </w:r>
    </w:p>
    <w:p w14:paraId="7528C18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  <w:t>统一采用低价优先法计算，即满足招标文件要求且投标价格最低的投标报价为评标基准价，其价格分为满分。其他投标人的价格分统一按照下列公式计算：</w:t>
      </w:r>
    </w:p>
    <w:p w14:paraId="77AF096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  <w:t>投标报价得分=评标基准价／投标报价×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  <w:t>。</w:t>
      </w:r>
    </w:p>
    <w:p w14:paraId="0680DB2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注：报价超过预算总价49000元的，作无效投标处理。</w:t>
      </w:r>
    </w:p>
    <w:p w14:paraId="429972DB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94" w:lineRule="exact"/>
        <w:ind w:firstLine="64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二、服务方案及综合实力（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60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分）</w:t>
      </w:r>
    </w:p>
    <w:p w14:paraId="0771183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3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  <w:t>（一）项目服务团队配置（</w:t>
      </w: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  <w:lang w:val="en-US" w:eastAsia="zh-CN"/>
        </w:rPr>
        <w:t>24</w:t>
      </w: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  <w:t>分）</w:t>
      </w:r>
    </w:p>
    <w:p w14:paraId="5324681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投标人为本项目配置的专职作业人员，持有有效《有害生物防制员资格证书》的，每提供1本有效证书得4分，本项最高得24分。</w:t>
      </w:r>
    </w:p>
    <w:p w14:paraId="575D0F1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加分要求：持证人员须同步提供近3个月社保证明（社保缴纳清单），证书、社保信息人员信息一致，缺一不予计分；证书过期、信息不符、无法核验均不计分。</w:t>
      </w:r>
    </w:p>
    <w:p w14:paraId="1E9D00D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3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  <w:t>（二）同类项目服务业绩（</w:t>
      </w: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  <w:lang w:val="en-US" w:eastAsia="zh-CN"/>
        </w:rPr>
        <w:t>12</w:t>
      </w: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  <w:t>分）</w:t>
      </w:r>
    </w:p>
    <w:p w14:paraId="7249230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投标人近3年内承接的有害生物防制、监测服务业绩，以有效合同复印件为计分依据：</w:t>
      </w:r>
    </w:p>
    <w:p w14:paraId="3B5375B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1.卫生健康系统、医疗机构、疾控中心等卫生机构同类防制、监测服务合同，每份得3分；</w:t>
      </w:r>
    </w:p>
    <w:p w14:paraId="1D02C7E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2.机关事业单位、国企、园区、商超等其他正规单位同类服务合同，每份得2分；</w:t>
      </w:r>
    </w:p>
    <w:p w14:paraId="0C4203B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本项累计最高得12分，无业绩不得分。</w:t>
      </w:r>
    </w:p>
    <w:p w14:paraId="1CF9BD8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备注：合同需清晰体现服务内容、服务周期、甲乙双方信息，仅框架协议、无实质服务内容的不计分。</w:t>
      </w:r>
    </w:p>
    <w:p w14:paraId="32813A0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3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  <w:t>（三）整体服务实施方案（</w:t>
      </w: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  <w:lang w:val="en-US" w:eastAsia="zh-CN"/>
        </w:rPr>
        <w:t>24</w:t>
      </w: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  <w:t>分）</w:t>
      </w:r>
    </w:p>
    <w:p w14:paraId="65EE0A3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根据投标人针对本项目编制的整体服务方案综合打分：</w:t>
      </w:r>
    </w:p>
    <w:p w14:paraId="1034DE6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1.方案针对性强，贴合本单位野鼠监测需求，服务流程清晰、作业规范标准，得24分；</w:t>
      </w:r>
    </w:p>
    <w:p w14:paraId="2B5EF97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2.方案基本满足项目需求，内容完整、流程规范，针对性一般，得14分；</w:t>
      </w:r>
    </w:p>
    <w:p w14:paraId="3BFA8C4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3.方案内容简单、流程粗略、针对性弱，仅简单套用模板，得4分；</w:t>
      </w:r>
    </w:p>
    <w:p w14:paraId="6837728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4.未提供服务方案不得分。</w:t>
      </w:r>
    </w:p>
    <w:p w14:paraId="53DF6000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94" w:lineRule="exact"/>
        <w:ind w:firstLine="64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三、售后服务保障（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20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分）</w:t>
      </w:r>
    </w:p>
    <w:p w14:paraId="7683578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3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  <w:t>（一）本地化服务能力（</w:t>
      </w: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  <w:lang w:val="en-US" w:eastAsia="zh-CN"/>
        </w:rPr>
        <w:t>10</w:t>
      </w: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  <w:t>分）</w:t>
      </w:r>
    </w:p>
    <w:p w14:paraId="7A91316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投标人具备项目所在地固定服务网点、常驻作业团队，可提供快速上门服务、应急值守的，得10分；提供服务网点证明、办公场地租赁/产权材料、本地化人员社保材料，资料不全酌情扣分，无本地化服务不得分。</w:t>
      </w:r>
    </w:p>
    <w:p w14:paraId="22DBCDE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3" w:firstLineChars="200"/>
        <w:jc w:val="both"/>
        <w:textAlignment w:val="baseline"/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  <w:t>（二）售后响应及维保服务（</w:t>
      </w: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  <w:lang w:val="en-US" w:eastAsia="zh-CN"/>
        </w:rPr>
        <w:t>10</w:t>
      </w:r>
      <w:r>
        <w:rPr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</w:rPr>
        <w:t>分）</w:t>
      </w:r>
    </w:p>
    <w:p w14:paraId="09F223F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94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根据投标人售后响应时效、日常回访、问题整改、免费补野鼠捕捉服务承诺打分：承诺突发问题2小时内响应、24小时内到场处置，定期回访巡检、瑕疵免费补消杀的，得10分；响应时效一般、服务承诺简单，得5分。</w:t>
      </w:r>
    </w:p>
    <w:p w14:paraId="69D2BF8D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94" w:lineRule="exact"/>
        <w:rPr>
          <w:b/>
          <w:sz w:val="28"/>
          <w:szCs w:val="28"/>
        </w:rPr>
      </w:pPr>
    </w:p>
    <w:sectPr>
      <w:footerReference r:id="rId3" w:type="default"/>
      <w:pgSz w:w="11906" w:h="16838"/>
      <w:pgMar w:top="2098" w:right="1361" w:bottom="1361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7B9B9D6-41FB-4875-A9E9-EBBAAAC1AD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96EDD87-13AF-4135-90EE-C7C2B905C0B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27F40C78-7716-4E2D-9C60-9700EAC94A41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68820538-5EE5-4180-8BA6-228E00D0A57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BE7A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F8D3EC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F8D3EC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yYjkyNTdlNzBhMzJlNzVmZWEzYjk3OThhNzY4M2IifQ=="/>
  </w:docVars>
  <w:rsids>
    <w:rsidRoot w:val="00172A27"/>
    <w:rsid w:val="0005089B"/>
    <w:rsid w:val="00067987"/>
    <w:rsid w:val="00091B44"/>
    <w:rsid w:val="00094BF2"/>
    <w:rsid w:val="000C4621"/>
    <w:rsid w:val="00137356"/>
    <w:rsid w:val="00172A27"/>
    <w:rsid w:val="001A503E"/>
    <w:rsid w:val="001C76B9"/>
    <w:rsid w:val="001C7886"/>
    <w:rsid w:val="00236983"/>
    <w:rsid w:val="002812D5"/>
    <w:rsid w:val="00286D2F"/>
    <w:rsid w:val="0031600A"/>
    <w:rsid w:val="0040173E"/>
    <w:rsid w:val="00425422"/>
    <w:rsid w:val="00431F3B"/>
    <w:rsid w:val="00475C3E"/>
    <w:rsid w:val="00476013"/>
    <w:rsid w:val="004C6719"/>
    <w:rsid w:val="00510EDE"/>
    <w:rsid w:val="00576E70"/>
    <w:rsid w:val="00597BB0"/>
    <w:rsid w:val="005F13D0"/>
    <w:rsid w:val="00642E8F"/>
    <w:rsid w:val="006547F6"/>
    <w:rsid w:val="00656C01"/>
    <w:rsid w:val="00693C8D"/>
    <w:rsid w:val="006F29C3"/>
    <w:rsid w:val="006F43EA"/>
    <w:rsid w:val="00705843"/>
    <w:rsid w:val="0070681F"/>
    <w:rsid w:val="007325D3"/>
    <w:rsid w:val="00755B57"/>
    <w:rsid w:val="00755DF0"/>
    <w:rsid w:val="00787D44"/>
    <w:rsid w:val="007C474B"/>
    <w:rsid w:val="007D7031"/>
    <w:rsid w:val="00814677"/>
    <w:rsid w:val="008C7230"/>
    <w:rsid w:val="008F4C30"/>
    <w:rsid w:val="00901B53"/>
    <w:rsid w:val="00976A56"/>
    <w:rsid w:val="009C0E8B"/>
    <w:rsid w:val="009E3694"/>
    <w:rsid w:val="00A46F16"/>
    <w:rsid w:val="00A70D0C"/>
    <w:rsid w:val="00AB3240"/>
    <w:rsid w:val="00AF2D8F"/>
    <w:rsid w:val="00B117B7"/>
    <w:rsid w:val="00B51C9C"/>
    <w:rsid w:val="00B92D7C"/>
    <w:rsid w:val="00BF156E"/>
    <w:rsid w:val="00C2598B"/>
    <w:rsid w:val="00C769DE"/>
    <w:rsid w:val="00C85935"/>
    <w:rsid w:val="00D3318D"/>
    <w:rsid w:val="00D3517E"/>
    <w:rsid w:val="00D54E91"/>
    <w:rsid w:val="00DA6978"/>
    <w:rsid w:val="00DD4AF7"/>
    <w:rsid w:val="00E0727D"/>
    <w:rsid w:val="00E90105"/>
    <w:rsid w:val="00E945DA"/>
    <w:rsid w:val="00EB49CA"/>
    <w:rsid w:val="00EB64C0"/>
    <w:rsid w:val="00ED0F0E"/>
    <w:rsid w:val="00EF5A2E"/>
    <w:rsid w:val="00F30A37"/>
    <w:rsid w:val="00F965A1"/>
    <w:rsid w:val="00FB7ABC"/>
    <w:rsid w:val="00FC1C91"/>
    <w:rsid w:val="00FE28C7"/>
    <w:rsid w:val="01452A4E"/>
    <w:rsid w:val="01DE489D"/>
    <w:rsid w:val="029E4DCA"/>
    <w:rsid w:val="02A01D40"/>
    <w:rsid w:val="034D793A"/>
    <w:rsid w:val="042C56D7"/>
    <w:rsid w:val="043D477D"/>
    <w:rsid w:val="04425FE9"/>
    <w:rsid w:val="04582D83"/>
    <w:rsid w:val="04DA12FE"/>
    <w:rsid w:val="0518672A"/>
    <w:rsid w:val="06776EAE"/>
    <w:rsid w:val="06EF21FC"/>
    <w:rsid w:val="07AD5E6F"/>
    <w:rsid w:val="07DD7F95"/>
    <w:rsid w:val="088B65DC"/>
    <w:rsid w:val="088F1DC0"/>
    <w:rsid w:val="099E0655"/>
    <w:rsid w:val="0A4D7496"/>
    <w:rsid w:val="0A5F0F91"/>
    <w:rsid w:val="0A815FD6"/>
    <w:rsid w:val="0AA46241"/>
    <w:rsid w:val="0AC02F18"/>
    <w:rsid w:val="0B976023"/>
    <w:rsid w:val="0DA4037F"/>
    <w:rsid w:val="0E05485A"/>
    <w:rsid w:val="0E2A4A68"/>
    <w:rsid w:val="0E9D5980"/>
    <w:rsid w:val="103B4960"/>
    <w:rsid w:val="106A48CB"/>
    <w:rsid w:val="106D240A"/>
    <w:rsid w:val="109553F0"/>
    <w:rsid w:val="10A42E1A"/>
    <w:rsid w:val="11761FD6"/>
    <w:rsid w:val="11A57B20"/>
    <w:rsid w:val="12103BCB"/>
    <w:rsid w:val="12BB5F81"/>
    <w:rsid w:val="12CD7EBA"/>
    <w:rsid w:val="14094920"/>
    <w:rsid w:val="142A2391"/>
    <w:rsid w:val="14BC78C5"/>
    <w:rsid w:val="14C72840"/>
    <w:rsid w:val="169923E1"/>
    <w:rsid w:val="16CD78A1"/>
    <w:rsid w:val="16EB009D"/>
    <w:rsid w:val="16FD6FD8"/>
    <w:rsid w:val="17457A09"/>
    <w:rsid w:val="17D835A3"/>
    <w:rsid w:val="19AD4E91"/>
    <w:rsid w:val="19D64912"/>
    <w:rsid w:val="1A630749"/>
    <w:rsid w:val="1AE35FDC"/>
    <w:rsid w:val="1C1321C4"/>
    <w:rsid w:val="1C5A43C0"/>
    <w:rsid w:val="1C9D605B"/>
    <w:rsid w:val="1D5852ED"/>
    <w:rsid w:val="1DF20777"/>
    <w:rsid w:val="1EDE1BBA"/>
    <w:rsid w:val="1F8E5A0E"/>
    <w:rsid w:val="206772F5"/>
    <w:rsid w:val="20FC3C98"/>
    <w:rsid w:val="21296AEB"/>
    <w:rsid w:val="21320DCB"/>
    <w:rsid w:val="22EF3043"/>
    <w:rsid w:val="24EF6E9C"/>
    <w:rsid w:val="26123616"/>
    <w:rsid w:val="26EF243F"/>
    <w:rsid w:val="28192662"/>
    <w:rsid w:val="2A102562"/>
    <w:rsid w:val="2A786487"/>
    <w:rsid w:val="2AAD670B"/>
    <w:rsid w:val="2C3526E6"/>
    <w:rsid w:val="2D4173C5"/>
    <w:rsid w:val="2E0C1A8E"/>
    <w:rsid w:val="2E332839"/>
    <w:rsid w:val="2E581BFD"/>
    <w:rsid w:val="30BE422A"/>
    <w:rsid w:val="31013678"/>
    <w:rsid w:val="31E43899"/>
    <w:rsid w:val="32024E86"/>
    <w:rsid w:val="320642CF"/>
    <w:rsid w:val="325B7497"/>
    <w:rsid w:val="336438C9"/>
    <w:rsid w:val="34E5103A"/>
    <w:rsid w:val="357475C6"/>
    <w:rsid w:val="360A384E"/>
    <w:rsid w:val="36332AE6"/>
    <w:rsid w:val="369E33E8"/>
    <w:rsid w:val="37A4078E"/>
    <w:rsid w:val="38F95683"/>
    <w:rsid w:val="39026AE0"/>
    <w:rsid w:val="395D5455"/>
    <w:rsid w:val="39B70955"/>
    <w:rsid w:val="39B747A8"/>
    <w:rsid w:val="3BCB4F26"/>
    <w:rsid w:val="3D9F5C7F"/>
    <w:rsid w:val="3DA6390E"/>
    <w:rsid w:val="3E081998"/>
    <w:rsid w:val="3E297793"/>
    <w:rsid w:val="409716EF"/>
    <w:rsid w:val="40F24318"/>
    <w:rsid w:val="410633AB"/>
    <w:rsid w:val="41BD526B"/>
    <w:rsid w:val="41C911AB"/>
    <w:rsid w:val="42154762"/>
    <w:rsid w:val="425F0ED3"/>
    <w:rsid w:val="433660D7"/>
    <w:rsid w:val="438405A6"/>
    <w:rsid w:val="438B5810"/>
    <w:rsid w:val="43D50599"/>
    <w:rsid w:val="45994F94"/>
    <w:rsid w:val="45A41F85"/>
    <w:rsid w:val="45E9630C"/>
    <w:rsid w:val="4690085B"/>
    <w:rsid w:val="49090BD4"/>
    <w:rsid w:val="4A2179F4"/>
    <w:rsid w:val="4A924726"/>
    <w:rsid w:val="4ADA6548"/>
    <w:rsid w:val="4CA767FC"/>
    <w:rsid w:val="4D17250C"/>
    <w:rsid w:val="4D355F67"/>
    <w:rsid w:val="4D4751F8"/>
    <w:rsid w:val="4E6D76D3"/>
    <w:rsid w:val="4E9128F4"/>
    <w:rsid w:val="4EF22B16"/>
    <w:rsid w:val="4EFA4090"/>
    <w:rsid w:val="4F3D7FFF"/>
    <w:rsid w:val="5017558E"/>
    <w:rsid w:val="507E6AA4"/>
    <w:rsid w:val="51ED571A"/>
    <w:rsid w:val="53AC3F51"/>
    <w:rsid w:val="543C5C05"/>
    <w:rsid w:val="55686C54"/>
    <w:rsid w:val="55A7171D"/>
    <w:rsid w:val="56302318"/>
    <w:rsid w:val="566863E0"/>
    <w:rsid w:val="566B5E16"/>
    <w:rsid w:val="56B20379"/>
    <w:rsid w:val="56BC37DF"/>
    <w:rsid w:val="56C05E85"/>
    <w:rsid w:val="579275D6"/>
    <w:rsid w:val="595D6AB0"/>
    <w:rsid w:val="5A0F4CF9"/>
    <w:rsid w:val="5A166E71"/>
    <w:rsid w:val="5B2A2BD4"/>
    <w:rsid w:val="5C0E366D"/>
    <w:rsid w:val="5D6666F9"/>
    <w:rsid w:val="5DC428D4"/>
    <w:rsid w:val="5DEE0133"/>
    <w:rsid w:val="5E6D0D12"/>
    <w:rsid w:val="5EB660F8"/>
    <w:rsid w:val="5FE4704C"/>
    <w:rsid w:val="60E57506"/>
    <w:rsid w:val="623F54C2"/>
    <w:rsid w:val="625D2DDE"/>
    <w:rsid w:val="631D3085"/>
    <w:rsid w:val="63D77671"/>
    <w:rsid w:val="64BD0615"/>
    <w:rsid w:val="650E055D"/>
    <w:rsid w:val="651F4615"/>
    <w:rsid w:val="65613696"/>
    <w:rsid w:val="677E682C"/>
    <w:rsid w:val="67AB5211"/>
    <w:rsid w:val="67BF2379"/>
    <w:rsid w:val="687731D1"/>
    <w:rsid w:val="68B7537B"/>
    <w:rsid w:val="691710C9"/>
    <w:rsid w:val="6AF871CA"/>
    <w:rsid w:val="6C653256"/>
    <w:rsid w:val="6CA22C02"/>
    <w:rsid w:val="6DB05374"/>
    <w:rsid w:val="6E574739"/>
    <w:rsid w:val="6FEA072C"/>
    <w:rsid w:val="707C0CA1"/>
    <w:rsid w:val="70BE3698"/>
    <w:rsid w:val="711C3FAB"/>
    <w:rsid w:val="72431546"/>
    <w:rsid w:val="7270316B"/>
    <w:rsid w:val="73280CCD"/>
    <w:rsid w:val="733425BA"/>
    <w:rsid w:val="73C137AD"/>
    <w:rsid w:val="74085B5A"/>
    <w:rsid w:val="74BF33D3"/>
    <w:rsid w:val="75BE2CB8"/>
    <w:rsid w:val="76230936"/>
    <w:rsid w:val="77112A42"/>
    <w:rsid w:val="77A13DC6"/>
    <w:rsid w:val="78440F76"/>
    <w:rsid w:val="78623A0A"/>
    <w:rsid w:val="7B4E6013"/>
    <w:rsid w:val="7B7A6715"/>
    <w:rsid w:val="7C6D186E"/>
    <w:rsid w:val="7D4B64B3"/>
    <w:rsid w:val="7D761851"/>
    <w:rsid w:val="7DB7743F"/>
    <w:rsid w:val="7E324D26"/>
    <w:rsid w:val="7E970A3E"/>
    <w:rsid w:val="7EE2719E"/>
    <w:rsid w:val="7F2059C0"/>
    <w:rsid w:val="7FA80D4D"/>
    <w:rsid w:val="7FB14D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Plain Text"/>
    <w:basedOn w:val="1"/>
    <w:link w:val="19"/>
    <w:qFormat/>
    <w:uiPriority w:val="99"/>
    <w:rPr>
      <w:rFonts w:hAnsi="Courier New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next w:val="1"/>
    <w:link w:val="18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Char1"/>
    <w:basedOn w:val="1"/>
    <w:qFormat/>
    <w:uiPriority w:val="99"/>
    <w:rPr>
      <w:color w:val="auto"/>
      <w:kern w:val="2"/>
      <w:szCs w:val="21"/>
    </w:rPr>
  </w:style>
  <w:style w:type="paragraph" w:customStyle="1" w:styleId="14">
    <w:name w:val="列出段落3"/>
    <w:basedOn w:val="1"/>
    <w:qFormat/>
    <w:uiPriority w:val="0"/>
    <w:pPr>
      <w:ind w:firstLine="420" w:firstLineChars="200"/>
    </w:pPr>
    <w:rPr>
      <w:rFonts w:ascii="宋体"/>
      <w:color w:val="auto"/>
      <w:sz w:val="18"/>
      <w:szCs w:val="18"/>
    </w:rPr>
  </w:style>
  <w:style w:type="paragraph" w:customStyle="1" w:styleId="15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lang w:val="en-US" w:eastAsia="zh-CN" w:bidi="ar-SA"/>
    </w:rPr>
  </w:style>
  <w:style w:type="character" w:customStyle="1" w:styleId="16">
    <w:name w:val="页眉 字符"/>
    <w:basedOn w:val="11"/>
    <w:link w:val="7"/>
    <w:qFormat/>
    <w:uiPriority w:val="0"/>
    <w:rPr>
      <w:color w:val="000000"/>
      <w:sz w:val="18"/>
      <w:szCs w:val="18"/>
    </w:rPr>
  </w:style>
  <w:style w:type="character" w:customStyle="1" w:styleId="17">
    <w:name w:val="页脚 字符"/>
    <w:basedOn w:val="11"/>
    <w:link w:val="6"/>
    <w:qFormat/>
    <w:uiPriority w:val="0"/>
    <w:rPr>
      <w:color w:val="000000"/>
      <w:sz w:val="18"/>
      <w:szCs w:val="18"/>
    </w:rPr>
  </w:style>
  <w:style w:type="character" w:customStyle="1" w:styleId="18">
    <w:name w:val="标题 字符"/>
    <w:basedOn w:val="11"/>
    <w:link w:val="8"/>
    <w:qFormat/>
    <w:uiPriority w:val="0"/>
    <w:rPr>
      <w:rFonts w:asciiTheme="majorHAnsi" w:hAnsiTheme="majorHAnsi" w:eastAsiaTheme="majorEastAsia" w:cstheme="majorBidi"/>
      <w:b/>
      <w:bCs/>
      <w:color w:val="000000"/>
      <w:sz w:val="32"/>
      <w:szCs w:val="32"/>
    </w:rPr>
  </w:style>
  <w:style w:type="character" w:customStyle="1" w:styleId="19">
    <w:name w:val="纯文本 字符"/>
    <w:basedOn w:val="11"/>
    <w:link w:val="5"/>
    <w:qFormat/>
    <w:uiPriority w:val="99"/>
    <w:rPr>
      <w:rFonts w:hAnsi="Courier New"/>
      <w:color w:val="000000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2679</Words>
  <Characters>2836</Characters>
  <Lines>20</Lines>
  <Paragraphs>5</Paragraphs>
  <TotalTime>5</TotalTime>
  <ScaleCrop>false</ScaleCrop>
  <LinksUpToDate>false</LinksUpToDate>
  <CharactersWithSpaces>2923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廖露鸣</cp:lastModifiedBy>
  <cp:lastPrinted>2019-04-30T03:00:00Z</cp:lastPrinted>
  <dcterms:modified xsi:type="dcterms:W3CDTF">2026-10-14T08:53:19Z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8CC3C7F6E990416F84208E90E7437A7D_13</vt:lpwstr>
  </property>
  <property fmtid="{D5CDD505-2E9C-101B-9397-08002B2CF9AE}" pid="4" name="KSOTemplateDocerSaveRecord">
    <vt:lpwstr>eyJoZGlkIjoiYTYyN2E4NTM3OGVkNWIwMDM1ZTM4N2JmZDE1ZjI4NmUiLCJ1c2VySWQiOiIxNjU2ODQxNTc5In0=</vt:lpwstr>
  </property>
</Properties>
</file>