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04B26">
      <w:pPr>
        <w:spacing w:line="594" w:lineRule="exact"/>
        <w:rPr>
          <w:rFonts w:ascii="仿宋_GB2312" w:hAnsi="仿宋_GB2312" w:eastAsia="仿宋_GB2312" w:cs="仿宋_GB2312"/>
          <w:snapToGrid/>
          <w:kern w:val="2"/>
          <w:sz w:val="32"/>
          <w:szCs w:val="32"/>
        </w:rPr>
      </w:pPr>
      <w:r>
        <w:rPr>
          <w:rFonts w:hint="eastAsia" w:ascii="黑体" w:hAnsi="黑体" w:eastAsia="黑体" w:cs="黑体"/>
          <w:snapToGrid/>
          <w:kern w:val="2"/>
          <w:sz w:val="32"/>
          <w:szCs w:val="32"/>
        </w:rPr>
        <w:t>附件1：</w:t>
      </w:r>
    </w:p>
    <w:p w14:paraId="38298250">
      <w:pPr>
        <w:spacing w:line="594" w:lineRule="exact"/>
        <w:jc w:val="center"/>
        <w:rPr>
          <w:rFonts w:ascii="方正小标宋简体" w:hAnsi="方正小标宋简体" w:eastAsia="方正小标宋简体" w:cs="方正小标宋简体"/>
          <w:snapToGrid/>
          <w:kern w:val="2"/>
          <w:sz w:val="36"/>
          <w:szCs w:val="36"/>
        </w:rPr>
      </w:pPr>
      <w:r>
        <w:rPr>
          <w:rFonts w:hint="eastAsia" w:ascii="方正小标宋简体" w:hAnsi="方正小标宋简体" w:eastAsia="方正小标宋简体" w:cs="方正小标宋简体"/>
          <w:snapToGrid/>
          <w:kern w:val="2"/>
          <w:sz w:val="36"/>
          <w:szCs w:val="36"/>
        </w:rPr>
        <w:t>采购需求</w:t>
      </w:r>
    </w:p>
    <w:tbl>
      <w:tblPr>
        <w:tblStyle w:val="7"/>
        <w:tblW w:w="14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1991"/>
        <w:gridCol w:w="907"/>
      </w:tblGrid>
      <w:tr w14:paraId="593A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521" w:type="dxa"/>
            <w:vAlign w:val="center"/>
          </w:tcPr>
          <w:p w14:paraId="2FC65A40">
            <w:pPr>
              <w:widowControl/>
              <w:spacing w:line="594" w:lineRule="exact"/>
              <w:jc w:val="center"/>
              <w:rPr>
                <w:rFonts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名称</w:t>
            </w:r>
          </w:p>
        </w:tc>
        <w:tc>
          <w:tcPr>
            <w:tcW w:w="11991" w:type="dxa"/>
            <w:vAlign w:val="center"/>
          </w:tcPr>
          <w:p w14:paraId="4AB0CEA6">
            <w:pPr>
              <w:widowControl/>
              <w:spacing w:line="594" w:lineRule="exact"/>
              <w:jc w:val="center"/>
              <w:rPr>
                <w:rFonts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需求内容</w:t>
            </w:r>
          </w:p>
        </w:tc>
        <w:tc>
          <w:tcPr>
            <w:tcW w:w="907" w:type="dxa"/>
            <w:vAlign w:val="center"/>
          </w:tcPr>
          <w:p w14:paraId="6568A7EE">
            <w:pPr>
              <w:widowControl/>
              <w:spacing w:line="594" w:lineRule="exact"/>
              <w:jc w:val="center"/>
              <w:rPr>
                <w:rFonts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数量</w:t>
            </w:r>
          </w:p>
        </w:tc>
      </w:tr>
      <w:tr w14:paraId="3A60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1" w:type="dxa"/>
            <w:shd w:val="clear" w:color="auto" w:fill="auto"/>
            <w:vAlign w:val="center"/>
          </w:tcPr>
          <w:p w14:paraId="319017AC">
            <w:pPr>
              <w:widowControl/>
              <w:spacing w:line="594" w:lineRule="exact"/>
              <w:jc w:val="both"/>
              <w:rPr>
                <w:rFonts w:ascii="仿宋_GB2312" w:hAnsi="仿宋_GB2312" w:eastAsia="仿宋" w:cs="仿宋_GB2312"/>
                <w:snapToGrid/>
                <w:color w:val="000000"/>
                <w:kern w:val="2"/>
                <w:sz w:val="28"/>
                <w:szCs w:val="28"/>
                <w:lang w:val="en-US" w:eastAsia="zh-CN" w:bidi="ar-SA"/>
              </w:rPr>
            </w:pPr>
            <w:r>
              <w:rPr>
                <w:rFonts w:hint="eastAsia" w:ascii="仿宋" w:hAnsi="仿宋" w:eastAsia="仿宋"/>
                <w:sz w:val="28"/>
                <w:szCs w:val="28"/>
              </w:rPr>
              <w:t>202</w:t>
            </w:r>
            <w:r>
              <w:rPr>
                <w:rFonts w:hint="eastAsia" w:ascii="仿宋" w:hAnsi="仿宋" w:eastAsia="仿宋"/>
                <w:sz w:val="28"/>
                <w:szCs w:val="28"/>
                <w:lang w:val="en-US" w:eastAsia="zh-CN"/>
              </w:rPr>
              <w:t>6</w:t>
            </w:r>
            <w:r>
              <w:rPr>
                <w:rFonts w:hint="eastAsia" w:ascii="仿宋" w:hAnsi="仿宋" w:eastAsia="仿宋"/>
                <w:sz w:val="28"/>
                <w:szCs w:val="28"/>
              </w:rPr>
              <w:t>年</w:t>
            </w:r>
            <w:r>
              <w:rPr>
                <w:rFonts w:hint="eastAsia" w:ascii="仿宋" w:hAnsi="仿宋" w:eastAsia="仿宋"/>
                <w:sz w:val="28"/>
                <w:szCs w:val="28"/>
                <w:lang w:val="en-US" w:eastAsia="zh-CN"/>
              </w:rPr>
              <w:t>伤害</w:t>
            </w:r>
            <w:r>
              <w:rPr>
                <w:rFonts w:hint="eastAsia" w:ascii="仿宋" w:hAnsi="仿宋" w:eastAsia="仿宋"/>
                <w:sz w:val="28"/>
                <w:szCs w:val="28"/>
              </w:rPr>
              <w:t>防治知识宣传科普动画制作服务</w:t>
            </w:r>
          </w:p>
        </w:tc>
        <w:tc>
          <w:tcPr>
            <w:tcW w:w="11991" w:type="dxa"/>
            <w:vAlign w:val="center"/>
          </w:tcPr>
          <w:p w14:paraId="22A6B5AA">
            <w:pPr>
              <w:keepNext w:val="0"/>
              <w:keepLines w:val="0"/>
              <w:pageBreakBefore w:val="0"/>
              <w:widowControl/>
              <w:kinsoku/>
              <w:wordWrap/>
              <w:overflowPunct/>
              <w:topLinePunct w:val="0"/>
              <w:autoSpaceDE w:val="0"/>
              <w:autoSpaceDN w:val="0"/>
              <w:bidi w:val="0"/>
              <w:adjustRightInd w:val="0"/>
              <w:snapToGrid w:val="0"/>
              <w:spacing w:line="580" w:lineRule="exact"/>
              <w:ind w:left="0" w:firstLine="560" w:firstLineChars="200"/>
              <w:jc w:val="left"/>
              <w:textAlignment w:val="baseline"/>
              <w:rPr>
                <w:rFonts w:hint="eastAsia" w:ascii="黑体" w:hAnsi="黑体" w:eastAsia="黑体" w:cs="黑体"/>
                <w:b w:val="0"/>
                <w:bCs w:val="0"/>
                <w:snapToGrid/>
                <w:kern w:val="2"/>
                <w:sz w:val="28"/>
                <w:szCs w:val="28"/>
                <w:vertAlign w:val="baseline"/>
                <w:lang w:val="en-US" w:eastAsia="zh-CN" w:bidi="ar-SA"/>
              </w:rPr>
            </w:pPr>
            <w:r>
              <w:rPr>
                <w:rFonts w:hint="eastAsia" w:ascii="黑体" w:hAnsi="黑体" w:eastAsia="黑体" w:cs="黑体"/>
                <w:b w:val="0"/>
                <w:bCs w:val="0"/>
                <w:snapToGrid/>
                <w:kern w:val="2"/>
                <w:sz w:val="28"/>
                <w:szCs w:val="28"/>
                <w:vertAlign w:val="baseline"/>
                <w:lang w:val="en-US" w:eastAsia="zh-CN" w:bidi="ar-SA"/>
              </w:rPr>
              <w:t>一、项目概况</w:t>
            </w:r>
          </w:p>
          <w:p w14:paraId="4B4D5695">
            <w:pPr>
              <w:keepNext w:val="0"/>
              <w:keepLines w:val="0"/>
              <w:pageBreakBefore w:val="0"/>
              <w:widowControl/>
              <w:kinsoku/>
              <w:wordWrap/>
              <w:overflowPunct/>
              <w:topLinePunct w:val="0"/>
              <w:autoSpaceDE w:val="0"/>
              <w:autoSpaceDN w:val="0"/>
              <w:bidi w:val="0"/>
              <w:adjustRightInd w:val="0"/>
              <w:snapToGrid w:val="0"/>
              <w:spacing w:line="580" w:lineRule="exact"/>
              <w:ind w:left="0" w:firstLine="560" w:firstLineChars="200"/>
              <w:jc w:val="left"/>
              <w:textAlignment w:val="baseline"/>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为积极推进伤</w:t>
            </w:r>
            <w:r>
              <w:rPr>
                <w:rFonts w:hint="eastAsia" w:ascii="仿宋_GB2312" w:hAnsi="仿宋_GB2312" w:eastAsia="仿宋_GB2312" w:cs="仿宋_GB2312"/>
                <w:color w:val="auto"/>
                <w:sz w:val="28"/>
                <w:szCs w:val="28"/>
                <w:lang w:val="en-US" w:eastAsia="zh-CN"/>
              </w:rPr>
              <w:t>害防治工作，提高社会公众伤</w:t>
            </w:r>
            <w:bookmarkStart w:id="0" w:name="_GoBack"/>
            <w:bookmarkEnd w:id="0"/>
            <w:r>
              <w:rPr>
                <w:rFonts w:hint="eastAsia" w:ascii="仿宋_GB2312" w:hAnsi="仿宋_GB2312" w:eastAsia="仿宋_GB2312" w:cs="仿宋_GB2312"/>
                <w:color w:val="auto"/>
                <w:sz w:val="28"/>
                <w:szCs w:val="28"/>
                <w:lang w:val="en-US" w:eastAsia="zh-CN"/>
              </w:rPr>
              <w:t>害防治意识，营造良好的宣传氛围，我中心拟制作1个伤害防治科普动画，</w:t>
            </w:r>
            <w:r>
              <w:rPr>
                <w:rFonts w:hint="eastAsia" w:ascii="仿宋_GB2312" w:hAnsi="仿宋_GB2312" w:eastAsia="仿宋_GB2312" w:cs="仿宋_GB2312"/>
                <w:color w:val="auto"/>
                <w:sz w:val="28"/>
                <w:szCs w:val="28"/>
                <w:lang w:val="en-US" w:eastAsia="zh-CN"/>
              </w:rPr>
              <w:t>应用但不限于学校、医院等室内大型电子显示屏，公共场所多媒体平台、自媒体平台等媒体上进</w:t>
            </w:r>
            <w:r>
              <w:rPr>
                <w:rFonts w:hint="eastAsia" w:ascii="仿宋_GB2312" w:hAnsi="仿宋_GB2312" w:eastAsia="仿宋_GB2312" w:cs="仿宋_GB2312"/>
                <w:i w:val="0"/>
                <w:iCs w:val="0"/>
                <w:caps w:val="0"/>
                <w:color w:val="000000"/>
                <w:spacing w:val="0"/>
                <w:sz w:val="28"/>
                <w:szCs w:val="28"/>
              </w:rPr>
              <w:t>行播放。因此，拟委托专业机构进行</w:t>
            </w:r>
            <w:r>
              <w:rPr>
                <w:rFonts w:hint="eastAsia" w:ascii="仿宋_GB2312" w:hAnsi="仿宋_GB2312" w:eastAsia="仿宋_GB2312" w:cs="仿宋_GB2312"/>
                <w:i w:val="0"/>
                <w:iCs w:val="0"/>
                <w:caps w:val="0"/>
                <w:color w:val="000000"/>
                <w:spacing w:val="0"/>
                <w:sz w:val="28"/>
                <w:szCs w:val="28"/>
                <w:lang w:val="en-US" w:eastAsia="zh-CN"/>
              </w:rPr>
              <w:t>伤害</w:t>
            </w:r>
            <w:r>
              <w:rPr>
                <w:rFonts w:hint="eastAsia" w:ascii="仿宋_GB2312" w:hAnsi="仿宋_GB2312" w:eastAsia="仿宋_GB2312" w:cs="仿宋_GB2312"/>
                <w:i w:val="0"/>
                <w:iCs w:val="0"/>
                <w:caps w:val="0"/>
                <w:color w:val="000000"/>
                <w:spacing w:val="0"/>
                <w:sz w:val="28"/>
                <w:szCs w:val="28"/>
                <w:lang w:eastAsia="zh-CN"/>
              </w:rPr>
              <w:t>防治</w:t>
            </w:r>
            <w:r>
              <w:rPr>
                <w:rFonts w:hint="eastAsia" w:ascii="仿宋_GB2312" w:hAnsi="仿宋_GB2312" w:eastAsia="仿宋_GB2312" w:cs="仿宋_GB2312"/>
                <w:sz w:val="28"/>
                <w:szCs w:val="28"/>
                <w:lang w:val="en-US" w:eastAsia="zh-CN"/>
              </w:rPr>
              <w:t>科普动画</w:t>
            </w:r>
            <w:r>
              <w:rPr>
                <w:rFonts w:hint="eastAsia" w:ascii="仿宋_GB2312" w:hAnsi="仿宋_GB2312" w:eastAsia="仿宋_GB2312" w:cs="仿宋_GB2312"/>
                <w:i w:val="0"/>
                <w:iCs w:val="0"/>
                <w:caps w:val="0"/>
                <w:color w:val="000000"/>
                <w:spacing w:val="0"/>
                <w:sz w:val="28"/>
                <w:szCs w:val="28"/>
              </w:rPr>
              <w:t>制作工作。</w:t>
            </w:r>
          </w:p>
          <w:p w14:paraId="24E879D0">
            <w:pPr>
              <w:keepNext w:val="0"/>
              <w:keepLines w:val="0"/>
              <w:pageBreakBefore w:val="0"/>
              <w:widowControl/>
              <w:kinsoku/>
              <w:wordWrap/>
              <w:overflowPunct/>
              <w:topLinePunct w:val="0"/>
              <w:autoSpaceDE w:val="0"/>
              <w:autoSpaceDN w:val="0"/>
              <w:bidi w:val="0"/>
              <w:adjustRightInd w:val="0"/>
              <w:snapToGrid w:val="0"/>
              <w:spacing w:line="580" w:lineRule="exact"/>
              <w:ind w:left="0" w:firstLine="560" w:firstLineChars="200"/>
              <w:jc w:val="left"/>
              <w:textAlignment w:val="baseline"/>
              <w:rPr>
                <w:rFonts w:hint="eastAsia" w:ascii="黑体" w:hAnsi="黑体" w:eastAsia="黑体" w:cs="黑体"/>
                <w:b w:val="0"/>
                <w:bCs w:val="0"/>
                <w:snapToGrid/>
                <w:kern w:val="2"/>
                <w:sz w:val="28"/>
                <w:szCs w:val="28"/>
                <w:vertAlign w:val="baseline"/>
                <w:lang w:val="en-US" w:eastAsia="zh-CN" w:bidi="ar-SA"/>
              </w:rPr>
            </w:pPr>
            <w:r>
              <w:rPr>
                <w:rFonts w:hint="eastAsia" w:ascii="黑体" w:hAnsi="黑体" w:eastAsia="黑体" w:cs="黑体"/>
                <w:b w:val="0"/>
                <w:bCs w:val="0"/>
                <w:snapToGrid/>
                <w:kern w:val="2"/>
                <w:sz w:val="28"/>
                <w:szCs w:val="28"/>
                <w:vertAlign w:val="baseline"/>
                <w:lang w:val="en-US" w:eastAsia="zh-CN" w:bidi="ar-SA"/>
              </w:rPr>
              <w:t>二、采购内容要求</w:t>
            </w:r>
          </w:p>
          <w:p w14:paraId="2285EBE9">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autoSpaceDE w:val="0"/>
              <w:autoSpaceDN w:val="0"/>
              <w:bidi w:val="0"/>
              <w:adjustRightInd w:val="0"/>
              <w:snapToGrid w:val="0"/>
              <w:spacing w:before="0" w:beforeAutospacing="0" w:after="0" w:afterAutospacing="0" w:line="580" w:lineRule="exact"/>
              <w:ind w:left="0" w:leftChars="0" w:right="0" w:rightChars="0" w:firstLine="560" w:firstLineChars="200"/>
              <w:jc w:val="both"/>
              <w:textAlignment w:val="baseline"/>
              <w:rPr>
                <w:rFonts w:hint="eastAsia" w:ascii="仿宋_GB2312" w:hAnsi="仿宋_GB2312" w:eastAsia="仿宋_GB2312" w:cs="仿宋_GB2312"/>
                <w:sz w:val="28"/>
                <w:szCs w:val="28"/>
                <w:lang w:eastAsia="zh-CN"/>
              </w:rPr>
            </w:pPr>
            <w:r>
              <w:rPr>
                <w:rFonts w:hint="eastAsia" w:ascii="仿宋_GB2312" w:hAnsi="仿宋_GB2312" w:eastAsia="仿宋_GB2312" w:cs="仿宋_GB2312"/>
                <w:b w:val="0"/>
                <w:bCs w:val="0"/>
                <w:snapToGrid/>
                <w:kern w:val="2"/>
                <w:sz w:val="28"/>
                <w:szCs w:val="28"/>
                <w:vertAlign w:val="baseline"/>
                <w:lang w:val="en-US" w:eastAsia="zh-CN" w:bidi="ar-SA"/>
              </w:rPr>
              <w:t>1.科普动画1个（预防烧烫伤伤害），内容紧扣</w:t>
            </w:r>
            <w:r>
              <w:rPr>
                <w:rFonts w:hint="eastAsia" w:ascii="仿宋_GB2312" w:hAnsi="仿宋_GB2312" w:eastAsia="仿宋_GB2312" w:cs="仿宋_GB2312"/>
                <w:b w:val="0"/>
                <w:bCs w:val="0"/>
                <w:snapToGrid/>
                <w:color w:val="000000" w:themeColor="text1"/>
                <w:kern w:val="2"/>
                <w:sz w:val="28"/>
                <w:szCs w:val="28"/>
                <w:vertAlign w:val="baseline"/>
                <w:lang w:val="en-US" w:eastAsia="zh-CN" w:bidi="ar-SA"/>
                <w14:textFill>
                  <w14:solidFill>
                    <w14:schemeClr w14:val="tx1"/>
                  </w14:solidFill>
                </w14:textFill>
              </w:rPr>
              <w:t>“</w:t>
            </w:r>
            <w:r>
              <w:rPr>
                <w:rFonts w:hint="eastAsia" w:ascii="仿宋_GB2312" w:hAnsi="仿宋_GB2312" w:eastAsia="仿宋_GB2312" w:cs="仿宋_GB2312"/>
                <w:b w:val="0"/>
                <w:bCs w:val="0"/>
                <w:snapToGrid/>
                <w:color w:val="auto"/>
                <w:kern w:val="2"/>
                <w:sz w:val="28"/>
                <w:szCs w:val="28"/>
                <w:vertAlign w:val="baseline"/>
                <w:lang w:val="en-US" w:eastAsia="zh-CN" w:bidi="ar-SA"/>
              </w:rPr>
              <w:t>儿童烧烫伤预防7大策略</w:t>
            </w:r>
            <w:r>
              <w:rPr>
                <w:rFonts w:hint="eastAsia" w:ascii="仿宋_GB2312" w:hAnsi="仿宋_GB2312" w:eastAsia="仿宋_GB2312" w:cs="仿宋_GB2312"/>
                <w:b w:val="0"/>
                <w:bCs w:val="0"/>
                <w:snapToGrid/>
                <w:color w:val="000000" w:themeColor="text1"/>
                <w:kern w:val="2"/>
                <w:sz w:val="28"/>
                <w:szCs w:val="28"/>
                <w:vertAlign w:val="baseline"/>
                <w:lang w:val="en-US" w:eastAsia="zh-CN" w:bidi="ar-SA"/>
                <w14:textFill>
                  <w14:solidFill>
                    <w14:schemeClr w14:val="tx1"/>
                  </w14:solidFill>
                </w14:textFill>
              </w:rPr>
              <w:t>”（重点突出“冲-脱-泡-盖-送”黄金急救法则）。</w:t>
            </w:r>
            <w:r>
              <w:rPr>
                <w:rFonts w:hint="eastAsia" w:ascii="仿宋_GB2312" w:hAnsi="仿宋_GB2312" w:eastAsia="仿宋_GB2312" w:cs="仿宋_GB2312"/>
                <w:snapToGrid/>
                <w:kern w:val="2"/>
                <w:sz w:val="28"/>
                <w:szCs w:val="28"/>
              </w:rPr>
              <w:t>我中心提供IP形象的主角角色-安仔的文件（格式：AI/PSD）。</w:t>
            </w:r>
            <w:r>
              <w:rPr>
                <w:rFonts w:hint="eastAsia" w:ascii="仿宋_GB2312" w:hAnsi="仿宋_GB2312" w:eastAsia="仿宋_GB2312" w:cs="仿宋_GB2312"/>
                <w:sz w:val="28"/>
                <w:szCs w:val="28"/>
                <w:lang w:val="en-US" w:eastAsia="zh-CN"/>
              </w:rPr>
              <w:t>动画制作服务包括动画脚本，设计、剪辑、调色、配音配乐、特效包装</w:t>
            </w:r>
            <w:r>
              <w:rPr>
                <w:rFonts w:hint="eastAsia" w:ascii="仿宋_GB2312" w:hAnsi="仿宋_GB2312" w:eastAsia="仿宋_GB2312" w:cs="仿宋_GB2312"/>
                <w:sz w:val="28"/>
                <w:szCs w:val="28"/>
              </w:rPr>
              <w:t>及音画同步</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rPr>
              <w:t>场景设计需</w:t>
            </w:r>
            <w:r>
              <w:rPr>
                <w:rFonts w:hint="eastAsia" w:ascii="仿宋_GB2312" w:hAnsi="仿宋_GB2312" w:eastAsia="仿宋_GB2312" w:cs="仿宋_GB2312"/>
                <w:sz w:val="28"/>
                <w:szCs w:val="28"/>
                <w:lang w:val="en-US" w:eastAsia="zh-CN"/>
              </w:rPr>
              <w:t>美观，</w:t>
            </w:r>
            <w:r>
              <w:rPr>
                <w:rFonts w:hint="eastAsia" w:ascii="仿宋_GB2312" w:hAnsi="仿宋_GB2312" w:eastAsia="仿宋_GB2312" w:cs="仿宋_GB2312"/>
                <w:sz w:val="28"/>
                <w:szCs w:val="28"/>
              </w:rPr>
              <w:t>角色动作流畅度需达到中级</w:t>
            </w:r>
            <w:r>
              <w:rPr>
                <w:rFonts w:hint="eastAsia" w:ascii="仿宋_GB2312" w:hAnsi="仿宋_GB2312" w:eastAsia="仿宋_GB2312" w:cs="仿宋_GB2312"/>
                <w:sz w:val="28"/>
                <w:szCs w:val="28"/>
                <w:lang w:eastAsia="zh-CN"/>
              </w:rPr>
              <w:t>及以上</w:t>
            </w:r>
            <w:r>
              <w:rPr>
                <w:rFonts w:hint="eastAsia" w:ascii="仿宋_GB2312" w:hAnsi="仿宋_GB2312" w:eastAsia="仿宋_GB2312" w:cs="仿宋_GB2312"/>
                <w:sz w:val="28"/>
                <w:szCs w:val="28"/>
              </w:rPr>
              <w:t>动画标准</w:t>
            </w:r>
            <w:r>
              <w:rPr>
                <w:rFonts w:hint="eastAsia" w:ascii="仿宋_GB2312" w:hAnsi="仿宋_GB2312" w:eastAsia="仿宋_GB2312" w:cs="仿宋_GB2312"/>
                <w:sz w:val="28"/>
                <w:szCs w:val="28"/>
                <w:lang w:eastAsia="zh-CN"/>
              </w:rPr>
              <w:t>。</w:t>
            </w:r>
          </w:p>
          <w:p w14:paraId="40DE14C9">
            <w:pPr>
              <w:widowControl/>
              <w:kinsoku/>
              <w:spacing w:line="580" w:lineRule="exact"/>
              <w:ind w:firstLine="560" w:firstLineChars="200"/>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b w:val="0"/>
                <w:bCs w:val="0"/>
                <w:snapToGrid/>
                <w:kern w:val="2"/>
                <w:sz w:val="28"/>
                <w:szCs w:val="28"/>
                <w:vertAlign w:val="baseline"/>
                <w:lang w:val="en-US" w:eastAsia="zh-CN" w:bidi="ar-SA"/>
              </w:rPr>
              <w:t>2.</w:t>
            </w:r>
            <w:r>
              <w:rPr>
                <w:rFonts w:hint="eastAsia" w:ascii="仿宋_GB2312" w:hAnsi="仿宋_GB2312" w:eastAsia="仿宋_GB2312" w:cs="仿宋_GB2312"/>
                <w:sz w:val="28"/>
                <w:szCs w:val="28"/>
                <w:lang w:val="en-US" w:eastAsia="zh-CN"/>
              </w:rPr>
              <w:t>科普宣传动画视频以德阳疾控官方安仔伤害防治卫士为主角，增强系列作品的辨识度和亲和力。</w:t>
            </w:r>
          </w:p>
          <w:p w14:paraId="0FA9BFBC">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val="0"/>
              <w:spacing w:line="580" w:lineRule="exact"/>
              <w:ind w:left="0" w:firstLine="560" w:firstLineChars="200"/>
              <w:jc w:val="left"/>
              <w:textAlignment w:val="baseline"/>
              <w:rPr>
                <w:rFonts w:hint="eastAsia" w:ascii="仿宋_GB2312" w:hAnsi="仿宋_GB2312" w:eastAsia="仿宋_GB2312" w:cs="仿宋_GB2312"/>
                <w:b w:val="0"/>
                <w:bCs w:val="0"/>
                <w:snapToGrid/>
                <w:kern w:val="2"/>
                <w:sz w:val="28"/>
                <w:szCs w:val="28"/>
                <w:vertAlign w:val="baseline"/>
                <w:lang w:val="en-US" w:eastAsia="zh-CN" w:bidi="ar-SA"/>
              </w:rPr>
            </w:pPr>
            <w:r>
              <w:rPr>
                <w:rFonts w:hint="eastAsia" w:ascii="仿宋_GB2312" w:hAnsi="仿宋_GB2312" w:eastAsia="仿宋_GB2312" w:cs="仿宋_GB2312"/>
                <w:b w:val="0"/>
                <w:bCs w:val="0"/>
                <w:snapToGrid/>
                <w:kern w:val="2"/>
                <w:sz w:val="28"/>
                <w:szCs w:val="28"/>
                <w:vertAlign w:val="baseline"/>
                <w:lang w:val="en-US" w:eastAsia="zh-CN" w:bidi="ar-SA"/>
              </w:rPr>
              <w:t>3.</w:t>
            </w:r>
            <w:r>
              <w:rPr>
                <w:rFonts w:hint="eastAsia" w:ascii="仿宋_GB2312" w:hAnsi="仿宋_GB2312" w:eastAsia="仿宋_GB2312" w:cs="仿宋_GB2312"/>
                <w:sz w:val="28"/>
                <w:szCs w:val="28"/>
                <w:lang w:val="en-US" w:eastAsia="zh-CN"/>
              </w:rPr>
              <w:t>动画需为二维</w:t>
            </w:r>
            <w:r>
              <w:rPr>
                <w:rFonts w:hint="eastAsia" w:ascii="仿宋_GB2312" w:hAnsi="仿宋_GB2312" w:eastAsia="仿宋_GB2312" w:cs="仿宋_GB2312"/>
                <w:color w:val="auto"/>
                <w:sz w:val="28"/>
                <w:szCs w:val="28"/>
                <w:lang w:val="en-US" w:eastAsia="zh-CN"/>
              </w:rPr>
              <w:t>动画</w:t>
            </w:r>
            <w:r>
              <w:rPr>
                <w:rFonts w:hint="eastAsia" w:ascii="仿宋_GB2312" w:hAnsi="仿宋_GB2312" w:eastAsia="仿宋_GB2312" w:cs="仿宋_GB2312"/>
                <w:sz w:val="28"/>
                <w:szCs w:val="28"/>
                <w:lang w:val="en-US" w:eastAsia="zh-CN"/>
              </w:rPr>
              <w:t>，动画时长不少于60秒，</w:t>
            </w:r>
            <w:r>
              <w:rPr>
                <w:rFonts w:hint="eastAsia" w:ascii="仿宋_GB2312" w:hAnsi="仿宋_GB2312" w:eastAsia="仿宋_GB2312" w:cs="仿宋_GB2312"/>
                <w:sz w:val="28"/>
                <w:szCs w:val="28"/>
              </w:rPr>
              <w:t>分辨率</w:t>
            </w:r>
            <w:r>
              <w:rPr>
                <w:rFonts w:hint="eastAsia" w:ascii="仿宋_GB2312" w:hAnsi="仿宋_GB2312" w:eastAsia="仿宋_GB2312" w:cs="仿宋_GB2312"/>
                <w:sz w:val="28"/>
                <w:szCs w:val="28"/>
                <w:lang w:val="en-US" w:eastAsia="zh-CN"/>
              </w:rPr>
              <w:t>为</w:t>
            </w:r>
            <w:r>
              <w:rPr>
                <w:rFonts w:hint="eastAsia" w:ascii="仿宋_GB2312" w:hAnsi="仿宋_GB2312" w:eastAsia="仿宋_GB2312" w:cs="仿宋_GB2312"/>
                <w:sz w:val="28"/>
                <w:szCs w:val="28"/>
              </w:rPr>
              <w:t>1920×1080（300dpi）</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帧速率</w:t>
            </w:r>
            <w:r>
              <w:rPr>
                <w:rFonts w:hint="eastAsia" w:ascii="仿宋_GB2312" w:hAnsi="仿宋_GB2312" w:eastAsia="仿宋_GB2312" w:cs="仿宋_GB2312"/>
                <w:sz w:val="28"/>
                <w:szCs w:val="28"/>
                <w:lang w:val="en-US" w:eastAsia="zh-CN"/>
              </w:rPr>
              <w:t>为</w:t>
            </w:r>
            <w:r>
              <w:rPr>
                <w:rFonts w:hint="eastAsia" w:ascii="仿宋_GB2312" w:hAnsi="仿宋_GB2312" w:eastAsia="仿宋_GB2312" w:cs="仿宋_GB2312"/>
                <w:sz w:val="28"/>
                <w:szCs w:val="28"/>
              </w:rPr>
              <w:t>25fps</w:t>
            </w:r>
            <w:r>
              <w:rPr>
                <w:rFonts w:hint="eastAsia" w:ascii="仿宋_GB2312" w:hAnsi="仿宋_GB2312" w:eastAsia="仿宋_GB2312" w:cs="仿宋_GB2312"/>
                <w:sz w:val="28"/>
                <w:szCs w:val="28"/>
                <w:lang w:val="en-US" w:eastAsia="zh-CN"/>
              </w:rPr>
              <w:t>及以上</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色彩模式</w:t>
            </w:r>
            <w:r>
              <w:rPr>
                <w:rFonts w:hint="eastAsia" w:ascii="仿宋_GB2312" w:hAnsi="仿宋_GB2312" w:eastAsia="仿宋_GB2312" w:cs="仿宋_GB2312"/>
                <w:sz w:val="28"/>
                <w:szCs w:val="28"/>
                <w:lang w:val="en-US" w:eastAsia="zh-CN"/>
              </w:rPr>
              <w:t>为</w:t>
            </w:r>
            <w:r>
              <w:rPr>
                <w:rFonts w:hint="eastAsia" w:ascii="仿宋_GB2312" w:hAnsi="仿宋_GB2312" w:eastAsia="仿宋_GB2312" w:cs="仿宋_GB2312"/>
                <w:sz w:val="28"/>
                <w:szCs w:val="28"/>
              </w:rPr>
              <w:t>RGB</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交付格式</w:t>
            </w:r>
            <w:r>
              <w:rPr>
                <w:rFonts w:hint="eastAsia" w:ascii="仿宋_GB2312" w:hAnsi="仿宋_GB2312" w:eastAsia="仿宋_GB2312" w:cs="仿宋_GB2312"/>
                <w:sz w:val="28"/>
                <w:szCs w:val="28"/>
                <w:lang w:val="en-US" w:eastAsia="zh-CN"/>
              </w:rPr>
              <w:t>为</w:t>
            </w:r>
            <w:r>
              <w:rPr>
                <w:rFonts w:hint="eastAsia" w:ascii="仿宋_GB2312" w:hAnsi="仿宋_GB2312" w:eastAsia="仿宋_GB2312" w:cs="仿宋_GB2312"/>
                <w:sz w:val="28"/>
                <w:szCs w:val="28"/>
              </w:rPr>
              <w:t>MP4（H.264编码）+工程文件</w:t>
            </w:r>
            <w:r>
              <w:rPr>
                <w:rFonts w:hint="eastAsia" w:ascii="仿宋_GB2312" w:hAnsi="仿宋_GB2312" w:eastAsia="仿宋_GB2312" w:cs="仿宋_GB2312"/>
                <w:sz w:val="28"/>
                <w:szCs w:val="28"/>
                <w:lang w:eastAsia="zh-CN"/>
              </w:rPr>
              <w:t>。</w:t>
            </w:r>
          </w:p>
          <w:p w14:paraId="56E0E26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autoSpaceDE w:val="0"/>
              <w:autoSpaceDN w:val="0"/>
              <w:bidi w:val="0"/>
              <w:adjustRightInd w:val="0"/>
              <w:snapToGrid w:val="0"/>
              <w:spacing w:before="0" w:beforeAutospacing="0" w:after="0" w:afterAutospacing="0" w:line="580" w:lineRule="exact"/>
              <w:ind w:left="0" w:right="0" w:firstLine="560" w:firstLineChars="200"/>
              <w:jc w:val="both"/>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b w:val="0"/>
                <w:bCs w:val="0"/>
                <w:snapToGrid/>
                <w:kern w:val="2"/>
                <w:sz w:val="28"/>
                <w:szCs w:val="28"/>
                <w:vertAlign w:val="baseline"/>
                <w:lang w:val="en-US" w:eastAsia="zh-CN" w:bidi="ar-SA"/>
              </w:rPr>
              <w:t>4.</w:t>
            </w:r>
            <w:r>
              <w:rPr>
                <w:rFonts w:hint="eastAsia" w:ascii="仿宋_GB2312" w:hAnsi="仿宋_GB2312" w:eastAsia="仿宋_GB2312" w:cs="仿宋_GB2312"/>
                <w:i w:val="0"/>
                <w:iCs w:val="0"/>
                <w:caps w:val="0"/>
                <w:color w:val="333333"/>
                <w:spacing w:val="0"/>
                <w:sz w:val="28"/>
                <w:szCs w:val="28"/>
                <w:u w:val="none"/>
                <w:shd w:val="clear" w:fill="FFFFFF"/>
                <w:lang w:val="en-US" w:eastAsia="zh-CN"/>
              </w:rPr>
              <w:t>动画</w:t>
            </w:r>
            <w:r>
              <w:rPr>
                <w:rFonts w:hint="eastAsia" w:ascii="仿宋_GB2312" w:hAnsi="仿宋_GB2312" w:eastAsia="仿宋_GB2312" w:cs="仿宋_GB2312"/>
                <w:i w:val="0"/>
                <w:iCs w:val="0"/>
                <w:caps w:val="0"/>
                <w:color w:val="333333"/>
                <w:spacing w:val="0"/>
                <w:sz w:val="28"/>
                <w:szCs w:val="28"/>
                <w:u w:val="none"/>
                <w:shd w:val="clear" w:fill="FFFFFF"/>
              </w:rPr>
              <w:t>需具备完整、有吸引力的故事情节，不得简单说教。</w:t>
            </w:r>
          </w:p>
          <w:p w14:paraId="6E051044">
            <w:pPr>
              <w:keepNext w:val="0"/>
              <w:keepLines w:val="0"/>
              <w:pageBreakBefore w:val="0"/>
              <w:widowControl/>
              <w:kinsoku/>
              <w:wordWrap/>
              <w:overflowPunct/>
              <w:topLinePunct w:val="0"/>
              <w:autoSpaceDE w:val="0"/>
              <w:autoSpaceDN w:val="0"/>
              <w:bidi w:val="0"/>
              <w:adjustRightInd w:val="0"/>
              <w:snapToGrid w:val="0"/>
              <w:spacing w:line="580" w:lineRule="exact"/>
              <w:ind w:left="0" w:firstLine="560" w:firstLineChars="200"/>
              <w:jc w:val="left"/>
              <w:textAlignment w:val="baseline"/>
              <w:rPr>
                <w:rFonts w:hint="eastAsia" w:ascii="仿宋_GB2312" w:hAnsi="仿宋_GB2312" w:eastAsia="仿宋_GB2312" w:cs="仿宋_GB2312"/>
                <w:b w:val="0"/>
                <w:bCs w:val="0"/>
                <w:snapToGrid/>
                <w:kern w:val="2"/>
                <w:sz w:val="28"/>
                <w:szCs w:val="28"/>
                <w:vertAlign w:val="baseline"/>
                <w:lang w:val="en-US" w:eastAsia="zh-CN" w:bidi="ar-SA"/>
              </w:rPr>
            </w:pPr>
            <w:r>
              <w:rPr>
                <w:rFonts w:hint="eastAsia" w:ascii="仿宋_GB2312" w:hAnsi="仿宋_GB2312" w:eastAsia="仿宋_GB2312" w:cs="仿宋_GB2312"/>
                <w:b w:val="0"/>
                <w:bCs w:val="0"/>
                <w:snapToGrid/>
                <w:kern w:val="2"/>
                <w:sz w:val="28"/>
                <w:szCs w:val="28"/>
                <w:vertAlign w:val="baseline"/>
                <w:lang w:val="en-US" w:eastAsia="zh-CN" w:bidi="ar-SA"/>
              </w:rPr>
              <w:t>5.项目承接方需有科普动画制作的丰富经验，根据提供的科普资料，撰写动画脚本，通过甲方审核后方能制作。品质上要达到表意清晰，叙事连贯，结构紧凑，动作流畅，色彩稳重，音效和谐。</w:t>
            </w:r>
          </w:p>
          <w:p w14:paraId="355BC9B4">
            <w:pPr>
              <w:keepNext w:val="0"/>
              <w:keepLines w:val="0"/>
              <w:pageBreakBefore w:val="0"/>
              <w:widowControl/>
              <w:kinsoku/>
              <w:wordWrap/>
              <w:overflowPunct/>
              <w:topLinePunct w:val="0"/>
              <w:autoSpaceDE w:val="0"/>
              <w:autoSpaceDN w:val="0"/>
              <w:bidi w:val="0"/>
              <w:adjustRightInd w:val="0"/>
              <w:snapToGrid w:val="0"/>
              <w:spacing w:line="580" w:lineRule="exact"/>
              <w:ind w:left="0" w:firstLine="560" w:firstLineChars="200"/>
              <w:jc w:val="left"/>
              <w:textAlignment w:val="baseline"/>
              <w:rPr>
                <w:rFonts w:hint="eastAsia" w:ascii="仿宋_GB2312" w:hAnsi="仿宋_GB2312" w:eastAsia="仿宋_GB2312" w:cs="仿宋_GB2312"/>
                <w:b w:val="0"/>
                <w:bCs w:val="0"/>
                <w:snapToGrid/>
                <w:kern w:val="2"/>
                <w:sz w:val="28"/>
                <w:szCs w:val="28"/>
                <w:vertAlign w:val="baseline"/>
                <w:lang w:val="en-US" w:eastAsia="zh-CN" w:bidi="ar-SA"/>
              </w:rPr>
            </w:pPr>
            <w:r>
              <w:rPr>
                <w:rFonts w:hint="eastAsia" w:ascii="仿宋_GB2312" w:hAnsi="仿宋_GB2312" w:eastAsia="仿宋_GB2312" w:cs="仿宋_GB2312"/>
                <w:b w:val="0"/>
                <w:bCs w:val="0"/>
                <w:snapToGrid/>
                <w:kern w:val="2"/>
                <w:sz w:val="28"/>
                <w:szCs w:val="28"/>
                <w:vertAlign w:val="baseline"/>
                <w:lang w:val="en-US" w:eastAsia="zh-CN" w:bidi="ar-SA"/>
              </w:rPr>
              <w:t>6.作品需为原创，具有独立知识产权，不得抄袭，中标动画版权归德阳市疾病预防控制中心所有。</w:t>
            </w:r>
          </w:p>
          <w:p w14:paraId="06C0A508">
            <w:pPr>
              <w:keepNext w:val="0"/>
              <w:keepLines w:val="0"/>
              <w:pageBreakBefore w:val="0"/>
              <w:widowControl/>
              <w:kinsoku/>
              <w:wordWrap/>
              <w:overflowPunct/>
              <w:topLinePunct w:val="0"/>
              <w:autoSpaceDE w:val="0"/>
              <w:autoSpaceDN w:val="0"/>
              <w:bidi w:val="0"/>
              <w:adjustRightInd w:val="0"/>
              <w:snapToGrid w:val="0"/>
              <w:spacing w:line="580" w:lineRule="exact"/>
              <w:ind w:left="0" w:firstLine="560" w:firstLineChars="200"/>
              <w:jc w:val="left"/>
              <w:textAlignment w:val="baseline"/>
              <w:rPr>
                <w:rFonts w:hint="eastAsia" w:ascii="黑体" w:hAnsi="黑体" w:eastAsia="黑体" w:cs="黑体"/>
                <w:b w:val="0"/>
                <w:bCs w:val="0"/>
                <w:snapToGrid/>
                <w:kern w:val="2"/>
                <w:sz w:val="28"/>
                <w:szCs w:val="28"/>
                <w:vertAlign w:val="baseline"/>
                <w:lang w:val="en-US" w:eastAsia="zh-CN" w:bidi="ar-SA"/>
              </w:rPr>
            </w:pPr>
            <w:r>
              <w:rPr>
                <w:rFonts w:hint="eastAsia" w:ascii="黑体" w:hAnsi="黑体" w:eastAsia="黑体" w:cs="黑体"/>
                <w:b w:val="0"/>
                <w:bCs w:val="0"/>
                <w:snapToGrid/>
                <w:kern w:val="2"/>
                <w:sz w:val="28"/>
                <w:szCs w:val="28"/>
                <w:vertAlign w:val="baseline"/>
                <w:lang w:val="en-US" w:eastAsia="zh-CN" w:bidi="ar-SA"/>
              </w:rPr>
              <w:t>三、其它</w:t>
            </w:r>
          </w:p>
          <w:p w14:paraId="0B50B437">
            <w:pPr>
              <w:widowControl/>
              <w:kinsoku/>
              <w:spacing w:line="580" w:lineRule="exact"/>
              <w:ind w:firstLine="560" w:firstLineChars="200"/>
              <w:jc w:val="both"/>
              <w:rPr>
                <w:rFonts w:hint="default" w:ascii="仿宋_GB2312" w:hAnsi="仿宋_GB2312" w:eastAsia="仿宋_GB2312" w:cs="仿宋_GB2312"/>
                <w:b w:val="0"/>
                <w:bCs w:val="0"/>
                <w:snapToGrid/>
                <w:kern w:val="2"/>
                <w:sz w:val="28"/>
                <w:szCs w:val="28"/>
                <w:vertAlign w:val="baseline"/>
                <w:lang w:val="en-US" w:eastAsia="zh-CN" w:bidi="ar-SA"/>
              </w:rPr>
            </w:pPr>
            <w:r>
              <w:rPr>
                <w:rFonts w:hint="eastAsia" w:ascii="仿宋_GB2312" w:hAnsi="仿宋_GB2312" w:eastAsia="仿宋_GB2312" w:cs="仿宋_GB2312"/>
                <w:b w:val="0"/>
                <w:bCs w:val="0"/>
                <w:snapToGrid/>
                <w:kern w:val="2"/>
                <w:sz w:val="28"/>
                <w:szCs w:val="28"/>
                <w:vertAlign w:val="baseline"/>
                <w:lang w:val="en-US" w:eastAsia="zh-CN" w:bidi="ar-SA"/>
              </w:rPr>
              <w:t>1.</w:t>
            </w:r>
            <w:r>
              <w:rPr>
                <w:rFonts w:hint="eastAsia" w:ascii="仿宋_GB2312" w:hAnsi="仿宋_GB2312" w:eastAsia="仿宋_GB2312" w:cs="仿宋_GB2312"/>
                <w:sz w:val="28"/>
                <w:szCs w:val="28"/>
              </w:rPr>
              <w:t>本项目实行总价包干，报价含脚本撰写、分镜绘制、原画绘制、动画制作、配音及后期等采购人指定服务范围内的全部价格，至少包括：服务的价格（包括人工、材料、设备等）；必要的保险费用和各项税金；与本项目有关的其他一切费用。采购人不再支付成交价格以外的任何费用。</w:t>
            </w:r>
          </w:p>
          <w:p w14:paraId="1E6421BD">
            <w:pPr>
              <w:widowControl/>
              <w:kinsoku/>
              <w:spacing w:line="580" w:lineRule="exact"/>
              <w:ind w:firstLine="560" w:firstLineChars="200"/>
              <w:jc w:val="both"/>
              <w:rPr>
                <w:rFonts w:ascii="仿宋_GB2312" w:hAnsi="仿宋_GB2312" w:eastAsia="仿宋_GB2312" w:cs="仿宋_GB2312"/>
                <w:snapToGrid/>
                <w:kern w:val="2"/>
                <w:sz w:val="28"/>
                <w:szCs w:val="28"/>
              </w:rPr>
            </w:pPr>
            <w:r>
              <w:rPr>
                <w:rFonts w:hint="eastAsia" w:ascii="仿宋_GB2312" w:hAnsi="仿宋_GB2312" w:eastAsia="仿宋_GB2312" w:cs="仿宋_GB2312"/>
                <w:b w:val="0"/>
                <w:bCs w:val="0"/>
                <w:snapToGrid/>
                <w:kern w:val="2"/>
                <w:sz w:val="28"/>
                <w:szCs w:val="28"/>
                <w:vertAlign w:val="baseline"/>
                <w:lang w:val="en-US" w:eastAsia="zh-CN" w:bidi="ar-SA"/>
              </w:rPr>
              <w:t>2.项目承接</w:t>
            </w:r>
            <w:r>
              <w:rPr>
                <w:rFonts w:hint="eastAsia" w:ascii="仿宋_GB2312" w:hAnsi="仿宋_GB2312" w:eastAsia="仿宋_GB2312" w:cs="仿宋_GB2312"/>
                <w:b w:val="0"/>
                <w:bCs w:val="0"/>
                <w:snapToGrid/>
                <w:color w:val="000000" w:themeColor="text1"/>
                <w:kern w:val="2"/>
                <w:sz w:val="28"/>
                <w:szCs w:val="28"/>
                <w:vertAlign w:val="baseline"/>
                <w:lang w:val="en-US" w:eastAsia="zh-CN" w:bidi="ar-SA"/>
                <w14:textFill>
                  <w14:solidFill>
                    <w14:schemeClr w14:val="tx1"/>
                  </w14:solidFill>
                </w14:textFill>
              </w:rPr>
              <w:t>方需在中标后一个月完成所有制作</w:t>
            </w:r>
            <w:r>
              <w:rPr>
                <w:rFonts w:hint="eastAsia" w:ascii="仿宋_GB2312" w:hAnsi="仿宋_GB2312" w:eastAsia="仿宋_GB2312" w:cs="仿宋_GB2312"/>
                <w:b w:val="0"/>
                <w:bCs w:val="0"/>
                <w:snapToGrid/>
                <w:kern w:val="2"/>
                <w:sz w:val="28"/>
                <w:szCs w:val="28"/>
                <w:vertAlign w:val="baseline"/>
                <w:lang w:val="en-US" w:eastAsia="zh-CN" w:bidi="ar-SA"/>
              </w:rPr>
              <w:t>。</w:t>
            </w:r>
          </w:p>
        </w:tc>
        <w:tc>
          <w:tcPr>
            <w:tcW w:w="907" w:type="dxa"/>
            <w:vAlign w:val="center"/>
          </w:tcPr>
          <w:p w14:paraId="376EAD99">
            <w:pPr>
              <w:widowControl/>
              <w:spacing w:line="594" w:lineRule="exact"/>
              <w:jc w:val="center"/>
              <w:rPr>
                <w:rFonts w:hint="eastAsia" w:ascii="仿宋_GB2312" w:hAnsi="仿宋_GB2312" w:eastAsia="仿宋_GB2312" w:cs="仿宋_GB2312"/>
                <w:snapToGrid/>
                <w:kern w:val="2"/>
                <w:sz w:val="28"/>
                <w:szCs w:val="28"/>
                <w:lang w:eastAsia="zh-CN"/>
              </w:rPr>
            </w:pPr>
            <w:r>
              <w:rPr>
                <w:rFonts w:hint="eastAsia" w:ascii="仿宋_GB2312" w:hAnsi="仿宋_GB2312" w:eastAsia="仿宋_GB2312" w:cs="仿宋_GB2312"/>
                <w:snapToGrid/>
                <w:kern w:val="2"/>
                <w:sz w:val="28"/>
                <w:szCs w:val="28"/>
                <w:lang w:val="en-US" w:eastAsia="zh-CN"/>
              </w:rPr>
              <w:t>1</w:t>
            </w:r>
          </w:p>
        </w:tc>
      </w:tr>
    </w:tbl>
    <w:p w14:paraId="59251B76">
      <w:pPr>
        <w:rPr>
          <w:rFonts w:ascii="黑体" w:hAnsi="黑体" w:eastAsia="黑体" w:cs="黑体"/>
          <w:snapToGrid/>
          <w:kern w:val="2"/>
          <w:sz w:val="32"/>
          <w:szCs w:val="32"/>
        </w:rPr>
      </w:pPr>
    </w:p>
    <w:p w14:paraId="5C45C4CF">
      <w:pPr>
        <w:rPr>
          <w:rFonts w:ascii="黑体" w:hAnsi="黑体" w:eastAsia="黑体" w:cs="黑体"/>
          <w:snapToGrid/>
          <w:kern w:val="2"/>
          <w:sz w:val="32"/>
          <w:szCs w:val="32"/>
        </w:rPr>
        <w:sectPr>
          <w:footerReference r:id="rId3" w:type="default"/>
          <w:pgSz w:w="16838" w:h="11906" w:orient="landscape"/>
          <w:pgMar w:top="1587" w:right="2098" w:bottom="1361" w:left="1361" w:header="851" w:footer="992" w:gutter="0"/>
          <w:cols w:space="0" w:num="1"/>
          <w:docGrid w:type="lines" w:linePitch="312" w:charSpace="0"/>
        </w:sectPr>
      </w:pPr>
    </w:p>
    <w:p w14:paraId="76F97BD8">
      <w:pPr>
        <w:spacing w:line="594" w:lineRule="exact"/>
        <w:rPr>
          <w:rFonts w:hint="eastAsia" w:ascii="黑体" w:hAnsi="黑体" w:eastAsia="黑体" w:cs="黑体"/>
          <w:snapToGrid/>
          <w:kern w:val="2"/>
          <w:sz w:val="32"/>
          <w:szCs w:val="32"/>
        </w:rPr>
      </w:pPr>
      <w:r>
        <w:rPr>
          <w:rFonts w:hint="eastAsia" w:ascii="黑体" w:hAnsi="黑体" w:eastAsia="黑体" w:cs="黑体"/>
          <w:snapToGrid/>
          <w:kern w:val="2"/>
          <w:sz w:val="32"/>
          <w:szCs w:val="32"/>
        </w:rPr>
        <w:t>附件2</w:t>
      </w:r>
    </w:p>
    <w:p w14:paraId="7DCF5F17">
      <w:pPr>
        <w:spacing w:line="594" w:lineRule="exact"/>
        <w:jc w:val="center"/>
        <w:rPr>
          <w:rFonts w:hint="eastAsia" w:ascii="方正小标宋简体" w:hAnsi="方正小标宋简体" w:eastAsia="方正小标宋简体" w:cs="方正小标宋简体"/>
          <w:snapToGrid/>
          <w:kern w:val="2"/>
          <w:sz w:val="36"/>
          <w:szCs w:val="36"/>
        </w:rPr>
      </w:pPr>
      <w:r>
        <w:rPr>
          <w:rFonts w:hint="eastAsia" w:ascii="方正小标宋简体" w:hAnsi="方正小标宋简体" w:eastAsia="方正小标宋简体" w:cs="方正小标宋简体"/>
          <w:snapToGrid/>
          <w:kern w:val="2"/>
          <w:sz w:val="36"/>
          <w:szCs w:val="36"/>
        </w:rPr>
        <w:t>综合评分办法</w:t>
      </w:r>
    </w:p>
    <w:p w14:paraId="1EA0909A">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黑体" w:hAnsi="黑体" w:eastAsia="黑体" w:cs="黑体"/>
          <w:snapToGrid/>
          <w:kern w:val="2"/>
          <w:sz w:val="28"/>
          <w:szCs w:val="28"/>
        </w:rPr>
      </w:pPr>
      <w:r>
        <w:rPr>
          <w:rFonts w:hint="eastAsia" w:ascii="黑体" w:hAnsi="黑体" w:eastAsia="黑体" w:cs="黑体"/>
          <w:snapToGrid/>
          <w:kern w:val="2"/>
          <w:sz w:val="28"/>
          <w:szCs w:val="28"/>
        </w:rPr>
        <w:t>一、评审原则</w:t>
      </w:r>
    </w:p>
    <w:p w14:paraId="3535644E">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楷体_GB2312" w:hAnsi="楷体_GB2312" w:eastAsia="楷体_GB2312" w:cs="楷体_GB2312"/>
          <w:snapToGrid/>
          <w:kern w:val="2"/>
          <w:sz w:val="28"/>
          <w:szCs w:val="28"/>
        </w:rPr>
        <w:t>（一）评审小组构成</w:t>
      </w:r>
      <w:r>
        <w:rPr>
          <w:rFonts w:hint="eastAsia" w:ascii="仿宋_GB2312" w:hAnsi="仿宋_GB2312" w:eastAsia="仿宋_GB2312" w:cs="仿宋_GB2312"/>
          <w:snapToGrid/>
          <w:kern w:val="2"/>
          <w:sz w:val="28"/>
          <w:szCs w:val="28"/>
        </w:rPr>
        <w:t>：本项目的评审小组由采购单位组建，成员人数为三人以上（含三人）单数。</w:t>
      </w:r>
    </w:p>
    <w:p w14:paraId="397818AD">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楷体_GB2312" w:hAnsi="楷体_GB2312" w:eastAsia="楷体_GB2312" w:cs="楷体_GB2312"/>
          <w:snapToGrid/>
          <w:kern w:val="2"/>
          <w:sz w:val="28"/>
          <w:szCs w:val="28"/>
        </w:rPr>
        <w:t>（二）评审依据</w:t>
      </w:r>
      <w:r>
        <w:rPr>
          <w:rFonts w:hint="eastAsia" w:ascii="仿宋_GB2312" w:hAnsi="仿宋_GB2312" w:eastAsia="仿宋_GB2312" w:cs="仿宋_GB2312"/>
          <w:snapToGrid/>
          <w:kern w:val="2"/>
          <w:sz w:val="28"/>
          <w:szCs w:val="28"/>
        </w:rPr>
        <w:t>：本评审办法和供应商提交的响应文件。</w:t>
      </w:r>
    </w:p>
    <w:p w14:paraId="1C308CEA">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楷体_GB2312" w:hAnsi="楷体_GB2312" w:eastAsia="楷体_GB2312" w:cs="楷体_GB2312"/>
          <w:snapToGrid/>
          <w:kern w:val="2"/>
          <w:sz w:val="28"/>
          <w:szCs w:val="28"/>
        </w:rPr>
        <w:t>（三）评审方法</w:t>
      </w:r>
      <w:r>
        <w:rPr>
          <w:rFonts w:hint="eastAsia" w:ascii="仿宋_GB2312" w:hAnsi="仿宋_GB2312" w:eastAsia="仿宋_GB2312" w:cs="仿宋_GB2312"/>
          <w:snapToGrid/>
          <w:kern w:val="2"/>
          <w:sz w:val="28"/>
          <w:szCs w:val="28"/>
        </w:rPr>
        <w:t>：综合评分法。</w:t>
      </w:r>
    </w:p>
    <w:p w14:paraId="787E9CBD">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黑体" w:hAnsi="黑体" w:eastAsia="黑体" w:cs="黑体"/>
          <w:snapToGrid/>
          <w:kern w:val="2"/>
          <w:sz w:val="28"/>
          <w:szCs w:val="28"/>
        </w:rPr>
      </w:pPr>
      <w:r>
        <w:rPr>
          <w:rFonts w:hint="eastAsia" w:ascii="黑体" w:hAnsi="黑体" w:eastAsia="黑体" w:cs="黑体"/>
          <w:snapToGrid/>
          <w:kern w:val="2"/>
          <w:sz w:val="28"/>
          <w:szCs w:val="28"/>
        </w:rPr>
        <w:t>二、评审方法</w:t>
      </w:r>
    </w:p>
    <w:p w14:paraId="51C8D0F0">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供应商提交的报价及资格材料经初核符合要求的进入详评，评审小组将按本评审办法和响应文件</w:t>
      </w:r>
      <w:r>
        <w:rPr>
          <w:rFonts w:hint="eastAsia" w:ascii="仿宋_GB2312" w:hAnsi="仿宋_GB2312" w:eastAsia="仿宋_GB2312" w:cs="仿宋_GB2312"/>
          <w:snapToGrid/>
          <w:kern w:val="2"/>
          <w:sz w:val="28"/>
          <w:szCs w:val="28"/>
          <w:lang w:val="en-US" w:eastAsia="zh-CN"/>
        </w:rPr>
        <w:t>作</w:t>
      </w:r>
      <w:r>
        <w:rPr>
          <w:rFonts w:hint="eastAsia" w:ascii="仿宋_GB2312" w:hAnsi="仿宋_GB2312" w:eastAsia="仿宋_GB2312" w:cs="仿宋_GB2312"/>
          <w:snapToGrid/>
          <w:kern w:val="2"/>
          <w:sz w:val="28"/>
          <w:szCs w:val="28"/>
        </w:rPr>
        <w:t>为评定依据，采用百分制综合评分法：</w:t>
      </w:r>
    </w:p>
    <w:p w14:paraId="3AF658BA">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评分细则（按四舍五入取至百分位）：</w:t>
      </w:r>
    </w:p>
    <w:p w14:paraId="45EB708D">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楷体_GB2312" w:hAnsi="楷体_GB2312" w:eastAsia="楷体_GB2312" w:cs="楷体_GB2312"/>
          <w:snapToGrid/>
          <w:kern w:val="2"/>
          <w:sz w:val="28"/>
          <w:szCs w:val="28"/>
        </w:rPr>
      </w:pPr>
      <w:r>
        <w:rPr>
          <w:rFonts w:hint="eastAsia" w:ascii="楷体_GB2312" w:hAnsi="楷体_GB2312" w:eastAsia="楷体_GB2312" w:cs="楷体_GB2312"/>
          <w:snapToGrid/>
          <w:kern w:val="2"/>
          <w:sz w:val="28"/>
          <w:szCs w:val="28"/>
        </w:rPr>
        <w:t>1.价格分（满分</w:t>
      </w:r>
      <w:r>
        <w:rPr>
          <w:rFonts w:hint="eastAsia" w:ascii="楷体_GB2312" w:hAnsi="楷体_GB2312" w:eastAsia="楷体_GB2312" w:cs="楷体_GB2312"/>
          <w:snapToGrid/>
          <w:kern w:val="2"/>
          <w:sz w:val="28"/>
          <w:szCs w:val="28"/>
          <w:lang w:val="en-US" w:eastAsia="zh-CN"/>
        </w:rPr>
        <w:t>10</w:t>
      </w:r>
      <w:r>
        <w:rPr>
          <w:rFonts w:hint="eastAsia" w:ascii="楷体_GB2312" w:hAnsi="楷体_GB2312" w:eastAsia="楷体_GB2312" w:cs="楷体_GB2312"/>
          <w:snapToGrid/>
          <w:kern w:val="2"/>
          <w:sz w:val="28"/>
          <w:szCs w:val="28"/>
        </w:rPr>
        <w:t>分）</w:t>
      </w:r>
    </w:p>
    <w:p w14:paraId="3F4526E9">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统一采用低价优先法计算，即满足招标文件要求且投标价格最低的投标报价为评标基准价，其价格分为满分。其他投标人的价格分统一按照下列公式计算：</w:t>
      </w:r>
    </w:p>
    <w:p w14:paraId="50908091">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投标报价得分=评标基准价／投标报价×10。</w:t>
      </w:r>
    </w:p>
    <w:p w14:paraId="6E489DEE">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default" w:ascii="仿宋_GB2312" w:hAnsi="仿宋_GB2312" w:eastAsia="仿宋_GB2312" w:cs="仿宋_GB2312"/>
          <w:snapToGrid/>
          <w:kern w:val="2"/>
          <w:sz w:val="28"/>
          <w:szCs w:val="28"/>
          <w:lang w:val="en-US" w:eastAsia="zh-CN"/>
        </w:rPr>
      </w:pPr>
      <w:r>
        <w:rPr>
          <w:rFonts w:hint="eastAsia" w:ascii="仿宋_GB2312" w:hAnsi="仿宋_GB2312" w:eastAsia="仿宋_GB2312" w:cs="仿宋_GB2312"/>
          <w:snapToGrid/>
          <w:kern w:val="2"/>
          <w:sz w:val="28"/>
          <w:szCs w:val="28"/>
          <w:lang w:val="en-US" w:eastAsia="zh-CN"/>
        </w:rPr>
        <w:t>注：报价超过预算总价9000元，价格分为0分。</w:t>
      </w:r>
    </w:p>
    <w:p w14:paraId="72EF0F59">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楷体_GB2312" w:hAnsi="楷体_GB2312" w:eastAsia="楷体_GB2312" w:cs="楷体_GB2312"/>
          <w:snapToGrid/>
          <w:kern w:val="2"/>
          <w:sz w:val="28"/>
          <w:szCs w:val="28"/>
        </w:rPr>
      </w:pPr>
      <w:r>
        <w:rPr>
          <w:rFonts w:hint="eastAsia" w:ascii="楷体_GB2312" w:hAnsi="楷体_GB2312" w:eastAsia="楷体_GB2312" w:cs="楷体_GB2312"/>
          <w:snapToGrid/>
          <w:kern w:val="2"/>
          <w:sz w:val="28"/>
          <w:szCs w:val="28"/>
        </w:rPr>
        <w:t>2.技术支持分（满分10分）</w:t>
      </w:r>
    </w:p>
    <w:p w14:paraId="7CEFED57">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拟投入本项目的人员专业结构合理，设备专业、充足，以保证项目工作质量。</w:t>
      </w:r>
    </w:p>
    <w:p w14:paraId="3D6C2F6E">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lang w:eastAsia="zh-CN"/>
        </w:rPr>
      </w:pPr>
      <w:r>
        <w:rPr>
          <w:rFonts w:hint="eastAsia" w:ascii="仿宋_GB2312" w:hAnsi="仿宋_GB2312" w:eastAsia="仿宋_GB2312" w:cs="仿宋_GB2312"/>
          <w:snapToGrid/>
          <w:kern w:val="2"/>
          <w:sz w:val="28"/>
          <w:szCs w:val="28"/>
        </w:rPr>
        <w:t>（1）拟投入动画专业学士学位人员，每1人得分3分，满分6分。（须在询价文件中提供人员学位证书复印件及近半年任意三个月的社保证明复印件，并加盖供应商公章，否则不得分）</w:t>
      </w:r>
      <w:r>
        <w:rPr>
          <w:rFonts w:hint="eastAsia" w:ascii="仿宋_GB2312" w:hAnsi="仿宋_GB2312" w:eastAsia="仿宋_GB2312" w:cs="仿宋_GB2312"/>
          <w:snapToGrid/>
          <w:kern w:val="2"/>
          <w:sz w:val="28"/>
          <w:szCs w:val="28"/>
          <w:lang w:eastAsia="zh-CN"/>
        </w:rPr>
        <w:t>。</w:t>
      </w:r>
    </w:p>
    <w:p w14:paraId="6FF3C6C1">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2）供应商具备制作、后期所需的仪器设施和软件，包含工作站、工作站软件系统、专业视频非线性编辑软件、调色软件、音频后期制作软件等。具备上述5项得4分，缺少任何一项不得分。（须列明清单加盖供应商公章，否则不得分）。</w:t>
      </w:r>
    </w:p>
    <w:p w14:paraId="17CB443B">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楷体_GB2312" w:hAnsi="楷体_GB2312" w:eastAsia="楷体_GB2312" w:cs="楷体_GB2312"/>
          <w:snapToGrid/>
          <w:kern w:val="2"/>
          <w:sz w:val="28"/>
          <w:szCs w:val="28"/>
        </w:rPr>
      </w:pPr>
      <w:r>
        <w:rPr>
          <w:rFonts w:hint="eastAsia" w:ascii="楷体_GB2312" w:hAnsi="楷体_GB2312" w:eastAsia="楷体_GB2312" w:cs="楷体_GB2312"/>
          <w:snapToGrid/>
          <w:kern w:val="2"/>
          <w:sz w:val="28"/>
          <w:szCs w:val="28"/>
        </w:rPr>
        <w:t>3.动画脚本设计方案分（满分</w:t>
      </w:r>
      <w:r>
        <w:rPr>
          <w:rFonts w:hint="eastAsia" w:ascii="楷体_GB2312" w:hAnsi="楷体_GB2312" w:eastAsia="楷体_GB2312" w:cs="楷体_GB2312"/>
          <w:snapToGrid/>
          <w:kern w:val="2"/>
          <w:sz w:val="28"/>
          <w:szCs w:val="28"/>
          <w:lang w:val="en-US" w:eastAsia="zh-CN"/>
        </w:rPr>
        <w:t>40</w:t>
      </w:r>
      <w:r>
        <w:rPr>
          <w:rFonts w:hint="eastAsia" w:ascii="楷体_GB2312" w:hAnsi="楷体_GB2312" w:eastAsia="楷体_GB2312" w:cs="楷体_GB2312"/>
          <w:snapToGrid/>
          <w:kern w:val="2"/>
          <w:sz w:val="28"/>
          <w:szCs w:val="28"/>
        </w:rPr>
        <w:t>分）</w:t>
      </w:r>
    </w:p>
    <w:p w14:paraId="4585CB7E">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三档（</w:t>
      </w:r>
      <w:r>
        <w:rPr>
          <w:rFonts w:hint="eastAsia" w:ascii="仿宋_GB2312" w:hAnsi="仿宋_GB2312" w:eastAsia="仿宋_GB2312" w:cs="仿宋_GB2312"/>
          <w:snapToGrid/>
          <w:kern w:val="2"/>
          <w:sz w:val="28"/>
          <w:szCs w:val="28"/>
          <w:lang w:val="en-US" w:eastAsia="zh-CN"/>
        </w:rPr>
        <w:t>20</w:t>
      </w:r>
      <w:r>
        <w:rPr>
          <w:rFonts w:hint="eastAsia" w:ascii="仿宋_GB2312" w:hAnsi="仿宋_GB2312" w:eastAsia="仿宋_GB2312" w:cs="仿宋_GB2312"/>
          <w:snapToGrid/>
          <w:kern w:val="2"/>
          <w:sz w:val="28"/>
          <w:szCs w:val="28"/>
        </w:rPr>
        <w:t>分）：总体设计理念陈旧，对展示目标、动画主题不突出，展现形式单一。</w:t>
      </w:r>
    </w:p>
    <w:p w14:paraId="287BE300">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二档（</w:t>
      </w:r>
      <w:r>
        <w:rPr>
          <w:rFonts w:hint="eastAsia" w:ascii="仿宋_GB2312" w:hAnsi="仿宋_GB2312" w:eastAsia="仿宋_GB2312" w:cs="仿宋_GB2312"/>
          <w:snapToGrid/>
          <w:kern w:val="2"/>
          <w:sz w:val="28"/>
          <w:szCs w:val="28"/>
          <w:lang w:val="en-US" w:eastAsia="zh-CN"/>
        </w:rPr>
        <w:t>30</w:t>
      </w:r>
      <w:r>
        <w:rPr>
          <w:rFonts w:hint="eastAsia" w:ascii="仿宋_GB2312" w:hAnsi="仿宋_GB2312" w:eastAsia="仿宋_GB2312" w:cs="仿宋_GB2312"/>
          <w:snapToGrid/>
          <w:kern w:val="2"/>
          <w:sz w:val="28"/>
          <w:szCs w:val="28"/>
        </w:rPr>
        <w:t>分）：总体设计理念一般，对展示目标、动画主题能基本达到，展现形式一般。</w:t>
      </w:r>
    </w:p>
    <w:p w14:paraId="0949146D">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一档（</w:t>
      </w:r>
      <w:r>
        <w:rPr>
          <w:rFonts w:hint="eastAsia" w:ascii="仿宋_GB2312" w:hAnsi="仿宋_GB2312" w:eastAsia="仿宋_GB2312" w:cs="仿宋_GB2312"/>
          <w:snapToGrid/>
          <w:kern w:val="2"/>
          <w:sz w:val="28"/>
          <w:szCs w:val="28"/>
          <w:lang w:val="en-US" w:eastAsia="zh-CN"/>
        </w:rPr>
        <w:t>40</w:t>
      </w:r>
      <w:r>
        <w:rPr>
          <w:rFonts w:hint="eastAsia" w:ascii="仿宋_GB2312" w:hAnsi="仿宋_GB2312" w:eastAsia="仿宋_GB2312" w:cs="仿宋_GB2312"/>
          <w:snapToGrid/>
          <w:kern w:val="2"/>
          <w:sz w:val="28"/>
          <w:szCs w:val="28"/>
        </w:rPr>
        <w:t>分）：总体设计理念先进、新颖，对展示目标、动画主题能够完善提高，展现形式有亮点。</w:t>
      </w:r>
    </w:p>
    <w:p w14:paraId="628F31B5">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楷体_GB2312" w:hAnsi="楷体_GB2312" w:eastAsia="楷体_GB2312" w:cs="楷体_GB2312"/>
          <w:snapToGrid/>
          <w:kern w:val="2"/>
          <w:sz w:val="28"/>
          <w:szCs w:val="28"/>
        </w:rPr>
      </w:pPr>
      <w:r>
        <w:rPr>
          <w:rFonts w:hint="eastAsia" w:ascii="楷体_GB2312" w:hAnsi="楷体_GB2312" w:eastAsia="楷体_GB2312" w:cs="楷体_GB2312"/>
          <w:snapToGrid/>
          <w:kern w:val="2"/>
          <w:sz w:val="28"/>
          <w:szCs w:val="28"/>
        </w:rPr>
        <w:t>4.信誉业绩分（满分</w:t>
      </w:r>
      <w:r>
        <w:rPr>
          <w:rFonts w:hint="eastAsia" w:ascii="楷体_GB2312" w:hAnsi="楷体_GB2312" w:eastAsia="楷体_GB2312" w:cs="楷体_GB2312"/>
          <w:snapToGrid/>
          <w:kern w:val="2"/>
          <w:sz w:val="28"/>
          <w:szCs w:val="28"/>
          <w:lang w:val="en-US" w:eastAsia="zh-CN"/>
        </w:rPr>
        <w:t>40</w:t>
      </w:r>
      <w:r>
        <w:rPr>
          <w:rFonts w:hint="eastAsia" w:ascii="楷体_GB2312" w:hAnsi="楷体_GB2312" w:eastAsia="楷体_GB2312" w:cs="楷体_GB2312"/>
          <w:snapToGrid/>
          <w:kern w:val="2"/>
          <w:sz w:val="28"/>
          <w:szCs w:val="28"/>
        </w:rPr>
        <w:t>分）</w:t>
      </w:r>
    </w:p>
    <w:p w14:paraId="2DBF9946">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lang w:eastAsia="zh-CN"/>
        </w:rPr>
      </w:pPr>
      <w:r>
        <w:rPr>
          <w:rFonts w:hint="eastAsia" w:ascii="仿宋_GB2312" w:hAnsi="仿宋_GB2312" w:eastAsia="仿宋_GB2312" w:cs="仿宋_GB2312"/>
          <w:snapToGrid/>
          <w:kern w:val="2"/>
          <w:sz w:val="28"/>
          <w:szCs w:val="28"/>
        </w:rPr>
        <w:t>（</w:t>
      </w:r>
      <w:r>
        <w:rPr>
          <w:rFonts w:hint="eastAsia" w:ascii="仿宋_GB2312" w:hAnsi="仿宋_GB2312" w:eastAsia="仿宋_GB2312" w:cs="仿宋_GB2312"/>
          <w:snapToGrid/>
          <w:kern w:val="2"/>
          <w:sz w:val="28"/>
          <w:szCs w:val="28"/>
          <w:lang w:val="en-US" w:eastAsia="zh-CN"/>
        </w:rPr>
        <w:t>1</w:t>
      </w:r>
      <w:r>
        <w:rPr>
          <w:rFonts w:hint="eastAsia" w:ascii="仿宋_GB2312" w:hAnsi="仿宋_GB2312" w:eastAsia="仿宋_GB2312" w:cs="仿宋_GB2312"/>
          <w:snapToGrid/>
          <w:kern w:val="2"/>
          <w:sz w:val="28"/>
          <w:szCs w:val="28"/>
        </w:rPr>
        <w:t>）供应商获得科普产品相关、省级及以上党委、人民政府、国家部委颁发的荣誉、奖励，每项得 4 分；供应商获得科普产品相关、市厅级党委、政府及省直厅局颁发的荣誉、奖励，每项得 2 分；本项累计最高 20 分。（须提供获奖证书或红头文件复印件加盖供应商公章，否则不得分）</w:t>
      </w:r>
      <w:r>
        <w:rPr>
          <w:rFonts w:hint="eastAsia" w:ascii="仿宋_GB2312" w:hAnsi="仿宋_GB2312" w:eastAsia="仿宋_GB2312" w:cs="仿宋_GB2312"/>
          <w:snapToGrid/>
          <w:kern w:val="2"/>
          <w:sz w:val="28"/>
          <w:szCs w:val="28"/>
          <w:lang w:eastAsia="zh-CN"/>
        </w:rPr>
        <w:t>。</w:t>
      </w:r>
    </w:p>
    <w:p w14:paraId="26878BD7">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lang w:eastAsia="zh-CN"/>
        </w:rPr>
      </w:pPr>
      <w:r>
        <w:rPr>
          <w:rFonts w:hint="eastAsia" w:ascii="仿宋_GB2312" w:hAnsi="仿宋_GB2312" w:eastAsia="仿宋_GB2312" w:cs="仿宋_GB2312"/>
          <w:snapToGrid/>
          <w:kern w:val="2"/>
          <w:sz w:val="28"/>
          <w:szCs w:val="28"/>
        </w:rPr>
        <w:t>（</w:t>
      </w:r>
      <w:r>
        <w:rPr>
          <w:rFonts w:hint="eastAsia" w:ascii="仿宋_GB2312" w:hAnsi="仿宋_GB2312" w:eastAsia="仿宋_GB2312" w:cs="仿宋_GB2312"/>
          <w:snapToGrid/>
          <w:kern w:val="2"/>
          <w:sz w:val="28"/>
          <w:szCs w:val="28"/>
          <w:lang w:val="en-US" w:eastAsia="zh-CN"/>
        </w:rPr>
        <w:t>2</w:t>
      </w:r>
      <w:r>
        <w:rPr>
          <w:rFonts w:hint="eastAsia" w:ascii="仿宋_GB2312" w:hAnsi="仿宋_GB2312" w:eastAsia="仿宋_GB2312" w:cs="仿宋_GB2312"/>
          <w:snapToGrid/>
          <w:kern w:val="2"/>
          <w:sz w:val="28"/>
          <w:szCs w:val="28"/>
        </w:rPr>
        <w:t>）供应商2021年以来有承接过类似本项目的业绩，每项得</w:t>
      </w:r>
      <w:r>
        <w:rPr>
          <w:rFonts w:hint="eastAsia" w:ascii="仿宋_GB2312" w:hAnsi="仿宋_GB2312" w:eastAsia="仿宋_GB2312" w:cs="仿宋_GB2312"/>
          <w:snapToGrid/>
          <w:kern w:val="2"/>
          <w:sz w:val="28"/>
          <w:szCs w:val="28"/>
          <w:lang w:val="en-US" w:eastAsia="zh-CN"/>
        </w:rPr>
        <w:t>4</w:t>
      </w:r>
      <w:r>
        <w:rPr>
          <w:rFonts w:hint="eastAsia" w:ascii="仿宋_GB2312" w:hAnsi="仿宋_GB2312" w:eastAsia="仿宋_GB2312" w:cs="仿宋_GB2312"/>
          <w:snapToGrid/>
          <w:kern w:val="2"/>
          <w:sz w:val="28"/>
          <w:szCs w:val="28"/>
        </w:rPr>
        <w:t>分，满分</w:t>
      </w:r>
      <w:r>
        <w:rPr>
          <w:rFonts w:hint="eastAsia" w:ascii="仿宋_GB2312" w:hAnsi="仿宋_GB2312" w:eastAsia="仿宋_GB2312" w:cs="仿宋_GB2312"/>
          <w:snapToGrid/>
          <w:kern w:val="2"/>
          <w:sz w:val="28"/>
          <w:szCs w:val="28"/>
          <w:lang w:val="en-US" w:eastAsia="zh-CN"/>
        </w:rPr>
        <w:t>20</w:t>
      </w:r>
      <w:r>
        <w:rPr>
          <w:rFonts w:hint="eastAsia" w:ascii="仿宋_GB2312" w:hAnsi="仿宋_GB2312" w:eastAsia="仿宋_GB2312" w:cs="仿宋_GB2312"/>
          <w:snapToGrid/>
          <w:kern w:val="2"/>
          <w:sz w:val="28"/>
          <w:szCs w:val="28"/>
        </w:rPr>
        <w:t>分。（须提供</w:t>
      </w:r>
      <w:r>
        <w:rPr>
          <w:rFonts w:hint="eastAsia" w:ascii="仿宋_GB2312" w:hAnsi="仿宋_GB2312" w:eastAsia="仿宋_GB2312" w:cs="仿宋_GB2312"/>
          <w:snapToGrid/>
          <w:kern w:val="2"/>
          <w:sz w:val="28"/>
          <w:szCs w:val="28"/>
          <w:lang w:val="en-US" w:eastAsia="zh-CN"/>
        </w:rPr>
        <w:t>原片、</w:t>
      </w:r>
      <w:r>
        <w:rPr>
          <w:rFonts w:hint="eastAsia" w:ascii="仿宋_GB2312" w:hAnsi="仿宋_GB2312" w:eastAsia="仿宋_GB2312" w:cs="仿宋_GB2312"/>
          <w:snapToGrid/>
          <w:kern w:val="2"/>
          <w:sz w:val="28"/>
          <w:szCs w:val="28"/>
        </w:rPr>
        <w:t>成交通知书或合同复印件，复印件加盖供应商公章，否则不得分）</w:t>
      </w:r>
      <w:r>
        <w:rPr>
          <w:rFonts w:hint="eastAsia" w:ascii="仿宋_GB2312" w:hAnsi="仿宋_GB2312" w:eastAsia="仿宋_GB2312" w:cs="仿宋_GB2312"/>
          <w:snapToGrid/>
          <w:kern w:val="2"/>
          <w:sz w:val="28"/>
          <w:szCs w:val="28"/>
          <w:lang w:eastAsia="zh-CN"/>
        </w:rPr>
        <w:t>。</w:t>
      </w:r>
    </w:p>
    <w:p w14:paraId="29DAF1EC">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lang w:eastAsia="zh-CN"/>
        </w:rPr>
      </w:pPr>
      <w:r>
        <w:rPr>
          <w:rFonts w:hint="eastAsia" w:ascii="仿宋_GB2312" w:hAnsi="仿宋_GB2312" w:eastAsia="仿宋_GB2312" w:cs="仿宋_GB2312"/>
          <w:snapToGrid/>
          <w:kern w:val="2"/>
          <w:sz w:val="28"/>
          <w:szCs w:val="28"/>
        </w:rPr>
        <w:t>总分值=1+2+3+4</w:t>
      </w:r>
      <w:r>
        <w:rPr>
          <w:rFonts w:hint="eastAsia" w:ascii="仿宋_GB2312" w:hAnsi="仿宋_GB2312" w:eastAsia="仿宋_GB2312" w:cs="仿宋_GB2312"/>
          <w:snapToGrid/>
          <w:kern w:val="2"/>
          <w:sz w:val="28"/>
          <w:szCs w:val="28"/>
          <w:lang w:eastAsia="zh-CN"/>
        </w:rPr>
        <w:t>。</w:t>
      </w:r>
    </w:p>
    <w:p w14:paraId="7F250B96">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黑体" w:hAnsi="黑体" w:eastAsia="黑体" w:cs="黑体"/>
          <w:snapToGrid/>
          <w:kern w:val="2"/>
          <w:sz w:val="28"/>
          <w:szCs w:val="28"/>
        </w:rPr>
      </w:pPr>
      <w:r>
        <w:rPr>
          <w:rFonts w:hint="eastAsia" w:ascii="黑体" w:hAnsi="黑体" w:eastAsia="黑体" w:cs="黑体"/>
          <w:snapToGrid/>
          <w:kern w:val="2"/>
          <w:sz w:val="28"/>
          <w:szCs w:val="28"/>
        </w:rPr>
        <w:t>三、成交候选人推荐原则</w:t>
      </w:r>
    </w:p>
    <w:p w14:paraId="72C441FB">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pPr>
      <w:r>
        <w:rPr>
          <w:rFonts w:hint="eastAsia" w:ascii="仿宋_GB2312" w:hAnsi="仿宋_GB2312" w:eastAsia="仿宋_GB2312" w:cs="仿宋_GB2312"/>
          <w:snapToGrid/>
          <w:kern w:val="2"/>
          <w:sz w:val="28"/>
          <w:szCs w:val="28"/>
        </w:rPr>
        <w:t>本次询价实行一次性报价，报出后不得更改。根据供应商提交的材料进行综合评分，按照得分由高到低顺序得出成交候选人名单，评审得分相同的，按照最后报价（不计算价格折扣）由低到高排序，评审得分且最后报价（不计算价格折扣）相同的，按照技术指标（技术支持+动画脚本设计方案分）优劣排序。成交原则为得分排序第一的报价人，如报价人因不可抗力提出不能履行合同，顺位选择第二排名的报价人，以此类推。</w:t>
      </w:r>
    </w:p>
    <w:p w14:paraId="7864860B">
      <w:pPr>
        <w:keepNext w:val="0"/>
        <w:keepLines w:val="0"/>
        <w:pageBreakBefore w:val="0"/>
        <w:widowControl/>
        <w:kinsoku w:val="0"/>
        <w:wordWrap/>
        <w:overflowPunct/>
        <w:topLinePunct w:val="0"/>
        <w:autoSpaceDE w:val="0"/>
        <w:autoSpaceDN w:val="0"/>
        <w:bidi w:val="0"/>
        <w:adjustRightInd w:val="0"/>
        <w:snapToGrid w:val="0"/>
        <w:spacing w:line="594" w:lineRule="exact"/>
        <w:ind w:firstLine="560" w:firstLineChars="200"/>
        <w:jc w:val="both"/>
        <w:textAlignment w:val="baseline"/>
        <w:rPr>
          <w:rFonts w:hint="eastAsia" w:ascii="仿宋_GB2312" w:hAnsi="仿宋_GB2312" w:eastAsia="仿宋_GB2312" w:cs="仿宋_GB2312"/>
          <w:snapToGrid/>
          <w:kern w:val="2"/>
          <w:sz w:val="28"/>
          <w:szCs w:val="28"/>
        </w:rPr>
        <w:sectPr>
          <w:pgSz w:w="11906" w:h="16838"/>
          <w:pgMar w:top="2098" w:right="1361" w:bottom="1361" w:left="1587" w:header="851" w:footer="992" w:gutter="0"/>
          <w:cols w:space="0" w:num="1"/>
          <w:docGrid w:type="lines" w:linePitch="312" w:charSpace="0"/>
        </w:sectPr>
      </w:pPr>
    </w:p>
    <w:p w14:paraId="2644535A">
      <w:pPr>
        <w:spacing w:line="594" w:lineRule="exact"/>
        <w:rPr>
          <w:rFonts w:hint="eastAsia" w:ascii="黑体" w:hAnsi="黑体" w:eastAsia="黑体" w:cs="黑体"/>
          <w:snapToGrid/>
          <w:kern w:val="2"/>
          <w:sz w:val="32"/>
          <w:szCs w:val="32"/>
          <w:lang w:eastAsia="zh-CN"/>
        </w:rPr>
      </w:pPr>
      <w:r>
        <w:rPr>
          <w:rFonts w:hint="eastAsia" w:ascii="黑体" w:hAnsi="黑体" w:eastAsia="黑体" w:cs="黑体"/>
          <w:snapToGrid/>
          <w:kern w:val="2"/>
          <w:sz w:val="32"/>
          <w:szCs w:val="32"/>
        </w:rPr>
        <w:t>附件</w:t>
      </w:r>
      <w:r>
        <w:rPr>
          <w:rFonts w:hint="eastAsia" w:ascii="黑体" w:hAnsi="黑体" w:eastAsia="黑体" w:cs="黑体"/>
          <w:snapToGrid/>
          <w:kern w:val="2"/>
          <w:sz w:val="32"/>
          <w:szCs w:val="32"/>
          <w:lang w:val="en-US" w:eastAsia="zh-CN"/>
        </w:rPr>
        <w:t>3</w:t>
      </w:r>
    </w:p>
    <w:p w14:paraId="7B1EC16F">
      <w:pPr>
        <w:keepNext w:val="0"/>
        <w:keepLines w:val="0"/>
        <w:pageBreakBefore w:val="0"/>
        <w:widowControl/>
        <w:kinsoku w:val="0"/>
        <w:wordWrap/>
        <w:overflowPunct/>
        <w:topLinePunct w:val="0"/>
        <w:autoSpaceDE w:val="0"/>
        <w:autoSpaceDN w:val="0"/>
        <w:bidi w:val="0"/>
        <w:adjustRightInd w:val="0"/>
        <w:snapToGrid w:val="0"/>
        <w:spacing w:line="594" w:lineRule="exact"/>
        <w:jc w:val="center"/>
        <w:textAlignment w:val="baseline"/>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lang w:val="en-US" w:eastAsia="zh-CN"/>
        </w:rPr>
        <w:t>烧烫伤</w:t>
      </w:r>
      <w:r>
        <w:rPr>
          <w:rFonts w:hint="eastAsia" w:ascii="方正小标宋简体" w:hAnsi="方正小标宋简体" w:eastAsia="方正小标宋简体" w:cs="方正小标宋简体"/>
          <w:sz w:val="36"/>
          <w:szCs w:val="36"/>
          <w:highlight w:val="none"/>
        </w:rPr>
        <w:t>防治知识</w:t>
      </w:r>
    </w:p>
    <w:p w14:paraId="2A2DE2A1">
      <w:pPr>
        <w:keepNext w:val="0"/>
        <w:keepLines w:val="0"/>
        <w:pageBreakBefore w:val="0"/>
        <w:numPr>
          <w:ilvl w:val="0"/>
          <w:numId w:val="0"/>
        </w:numPr>
        <w:kinsoku/>
        <w:wordWrap/>
        <w:overflowPunct/>
        <w:topLinePunct w:val="0"/>
        <w:autoSpaceDE/>
        <w:autoSpaceDN/>
        <w:bidi w:val="0"/>
        <w:adjustRightInd/>
        <w:snapToGrid/>
        <w:spacing w:line="578" w:lineRule="exact"/>
        <w:ind w:firstLine="560" w:firstLineChars="200"/>
        <w:jc w:val="left"/>
        <w:textAlignment w:val="auto"/>
        <w:rPr>
          <w:rFonts w:hint="eastAsia" w:ascii="仿宋_GB2312" w:hAnsi="仿宋_GB2312" w:eastAsia="仿宋_GB2312" w:cs="仿宋_GB2312"/>
          <w:sz w:val="28"/>
          <w:szCs w:val="28"/>
          <w:lang w:val="en-US" w:eastAsia="zh-CN"/>
        </w:rPr>
      </w:pPr>
    </w:p>
    <w:p w14:paraId="65BEC07F">
      <w:pPr>
        <w:keepNext w:val="0"/>
        <w:keepLines w:val="0"/>
        <w:pageBreakBefore w:val="0"/>
        <w:numPr>
          <w:ilvl w:val="0"/>
          <w:numId w:val="0"/>
        </w:numPr>
        <w:kinsoku/>
        <w:wordWrap/>
        <w:overflowPunct/>
        <w:topLinePunct w:val="0"/>
        <w:autoSpaceDE/>
        <w:autoSpaceDN/>
        <w:bidi w:val="0"/>
        <w:adjustRightInd/>
        <w:snapToGrid/>
        <w:spacing w:line="578" w:lineRule="exact"/>
        <w:ind w:firstLine="560" w:firstLine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1.儿童烧烫伤预防7大策略</w:t>
      </w:r>
      <w:r>
        <w:rPr>
          <w:rFonts w:hint="default" w:ascii="仿宋_GB2312" w:hAnsi="仿宋_GB2312" w:eastAsia="仿宋_GB2312" w:cs="仿宋_GB2312"/>
          <w:sz w:val="28"/>
          <w:szCs w:val="28"/>
          <w:lang w:val="en-US" w:eastAsia="zh-CN"/>
        </w:rPr>
        <w:object>
          <v:shape id="_x0000_i1025" o:spt="75" type="#_x0000_t75" style="height:23.25pt;width:50.8pt;" o:ole="t" filled="f" o:preferrelative="t" stroked="f" coordsize="21600,21600">
            <v:path/>
            <v:fill on="f" focussize="0,0"/>
            <v:stroke on="f"/>
            <v:imagedata r:id="rId6" o:title=""/>
            <o:lock v:ext="edit" aspectratio="t"/>
            <w10:wrap type="none"/>
            <w10:anchorlock/>
          </v:shape>
          <o:OLEObject Type="Embed" ProgID="Package" ShapeID="_x0000_i1025" DrawAspect="Content" ObjectID="_1468075725" r:id="rId5">
            <o:LockedField>false</o:LockedField>
          </o:OLEObject>
        </w:object>
      </w:r>
    </w:p>
    <w:p w14:paraId="567346AE">
      <w:pPr>
        <w:keepNext w:val="0"/>
        <w:keepLines w:val="0"/>
        <w:pageBreakBefore w:val="0"/>
        <w:numPr>
          <w:ilvl w:val="0"/>
          <w:numId w:val="0"/>
        </w:numPr>
        <w:kinsoku/>
        <w:wordWrap/>
        <w:overflowPunct/>
        <w:topLinePunct w:val="0"/>
        <w:autoSpaceDE/>
        <w:autoSpaceDN/>
        <w:bidi w:val="0"/>
        <w:adjustRightInd/>
        <w:snapToGrid/>
        <w:spacing w:line="578" w:lineRule="exact"/>
        <w:ind w:firstLine="560" w:firstLineChars="200"/>
        <w:jc w:val="left"/>
        <w:textAlignment w:val="auto"/>
        <w:rPr>
          <w:rFonts w:hint="default" w:ascii="仿宋_GB2312" w:hAnsi="仿宋_GB2312" w:eastAsia="仿宋_GB2312" w:cs="仿宋_GB2312"/>
          <w:sz w:val="28"/>
          <w:szCs w:val="28"/>
          <w:lang w:val="en-US" w:eastAsia="zh-CN"/>
        </w:rPr>
      </w:pPr>
      <w:r>
        <w:rPr>
          <w:rFonts w:hint="eastAsia" w:ascii="黑体" w:hAnsi="黑体" w:eastAsia="黑体" w:cs="黑体"/>
          <w:snapToGrid/>
          <w:kern w:val="2"/>
          <w:sz w:val="28"/>
          <w:szCs w:val="28"/>
          <w:lang w:val="en-US" w:eastAsia="zh-CN"/>
        </w:rPr>
        <w:drawing>
          <wp:anchor distT="0" distB="0" distL="114300" distR="114300" simplePos="0" relativeHeight="251660288" behindDoc="1" locked="0" layoutInCell="1" allowOverlap="1">
            <wp:simplePos x="0" y="0"/>
            <wp:positionH relativeFrom="column">
              <wp:posOffset>1069975</wp:posOffset>
            </wp:positionH>
            <wp:positionV relativeFrom="paragraph">
              <wp:posOffset>359410</wp:posOffset>
            </wp:positionV>
            <wp:extent cx="3311525" cy="7508875"/>
            <wp:effectExtent l="0" t="0" r="3175" b="15875"/>
            <wp:wrapNone/>
            <wp:docPr id="3" name="图片 3" descr="0cf07f5a688e24b071754cc9522d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cf07f5a688e24b071754cc9522d6008"/>
                    <pic:cNvPicPr>
                      <a:picLocks noChangeAspect="1"/>
                    </pic:cNvPicPr>
                  </pic:nvPicPr>
                  <pic:blipFill>
                    <a:blip r:embed="rId7"/>
                    <a:stretch>
                      <a:fillRect/>
                    </a:stretch>
                  </pic:blipFill>
                  <pic:spPr>
                    <a:xfrm>
                      <a:off x="0" y="0"/>
                      <a:ext cx="3311525" cy="7508875"/>
                    </a:xfrm>
                    <a:prstGeom prst="rect">
                      <a:avLst/>
                    </a:prstGeom>
                  </pic:spPr>
                </pic:pic>
              </a:graphicData>
            </a:graphic>
          </wp:anchor>
        </w:drawing>
      </w:r>
      <w:r>
        <w:rPr>
          <w:rFonts w:hint="eastAsia" w:ascii="仿宋_GB2312" w:hAnsi="仿宋_GB2312" w:eastAsia="仿宋_GB2312" w:cs="仿宋_GB2312"/>
          <w:sz w:val="28"/>
          <w:szCs w:val="28"/>
          <w:lang w:val="en-US" w:eastAsia="zh-CN"/>
        </w:rPr>
        <w:t>2.预防烧烫伤科普</w:t>
      </w:r>
    </w:p>
    <w:p w14:paraId="385F35A0">
      <w:pPr>
        <w:keepNext w:val="0"/>
        <w:keepLines w:val="0"/>
        <w:pageBreakBefore w:val="0"/>
        <w:numPr>
          <w:ilvl w:val="0"/>
          <w:numId w:val="0"/>
        </w:numPr>
        <w:kinsoku/>
        <w:wordWrap/>
        <w:overflowPunct/>
        <w:topLinePunct w:val="0"/>
        <w:autoSpaceDE/>
        <w:autoSpaceDN/>
        <w:bidi w:val="0"/>
        <w:adjustRightInd/>
        <w:snapToGrid/>
        <w:spacing w:line="578" w:lineRule="exact"/>
        <w:jc w:val="left"/>
        <w:textAlignment w:val="auto"/>
        <w:rPr>
          <w:rFonts w:hint="default" w:ascii="仿宋_GB2312" w:hAnsi="仿宋_GB2312" w:eastAsia="仿宋_GB2312" w:cs="仿宋_GB2312"/>
          <w:sz w:val="28"/>
          <w:szCs w:val="28"/>
          <w:lang w:val="en-US" w:eastAsia="zh-CN"/>
        </w:rPr>
      </w:pPr>
    </w:p>
    <w:p w14:paraId="500E3891">
      <w:pPr>
        <w:spacing w:line="594" w:lineRule="exact"/>
        <w:rPr>
          <w:rFonts w:hint="eastAsia" w:ascii="黑体" w:hAnsi="黑体" w:eastAsia="黑体" w:cs="黑体"/>
          <w:snapToGrid/>
          <w:kern w:val="2"/>
          <w:sz w:val="28"/>
          <w:szCs w:val="28"/>
          <w:lang w:val="en-US" w:eastAsia="zh-CN"/>
        </w:rPr>
      </w:pPr>
    </w:p>
    <w:p w14:paraId="1D91F668">
      <w:pPr>
        <w:spacing w:line="594" w:lineRule="exact"/>
        <w:rPr>
          <w:rFonts w:hint="eastAsia" w:ascii="黑体" w:hAnsi="黑体" w:eastAsia="黑体" w:cs="黑体"/>
          <w:snapToGrid/>
          <w:kern w:val="2"/>
          <w:sz w:val="28"/>
          <w:szCs w:val="28"/>
          <w:lang w:val="en-US" w:eastAsia="zh-CN"/>
        </w:rPr>
      </w:pPr>
    </w:p>
    <w:p w14:paraId="5A80DFEB">
      <w:pPr>
        <w:spacing w:line="594" w:lineRule="exact"/>
        <w:rPr>
          <w:rFonts w:hint="eastAsia" w:ascii="黑体" w:hAnsi="黑体" w:eastAsia="黑体" w:cs="黑体"/>
          <w:snapToGrid/>
          <w:kern w:val="2"/>
          <w:sz w:val="28"/>
          <w:szCs w:val="28"/>
          <w:lang w:val="en-US" w:eastAsia="zh-CN"/>
        </w:rPr>
      </w:pPr>
    </w:p>
    <w:p w14:paraId="6036F091">
      <w:pPr>
        <w:spacing w:line="594" w:lineRule="exact"/>
        <w:rPr>
          <w:rFonts w:hint="eastAsia" w:ascii="黑体" w:hAnsi="黑体" w:eastAsia="黑体" w:cs="黑体"/>
          <w:snapToGrid/>
          <w:kern w:val="2"/>
          <w:sz w:val="28"/>
          <w:szCs w:val="28"/>
          <w:lang w:val="en-US" w:eastAsia="zh-CN"/>
        </w:rPr>
      </w:pPr>
    </w:p>
    <w:p w14:paraId="69339103">
      <w:pPr>
        <w:rPr>
          <w:rFonts w:hint="eastAsia" w:ascii="黑体" w:hAnsi="黑体" w:eastAsia="黑体" w:cs="黑体"/>
          <w:snapToGrid/>
          <w:kern w:val="2"/>
          <w:sz w:val="32"/>
          <w:szCs w:val="32"/>
          <w:lang w:val="en-US" w:eastAsia="zh-CN"/>
        </w:rPr>
      </w:pPr>
      <w:r>
        <w:rPr>
          <w:rFonts w:hint="eastAsia" w:ascii="黑体" w:hAnsi="黑体" w:eastAsia="黑体" w:cs="黑体"/>
          <w:snapToGrid/>
          <w:kern w:val="2"/>
          <w:sz w:val="32"/>
          <w:szCs w:val="32"/>
          <w:lang w:val="en-US" w:eastAsia="zh-CN"/>
        </w:rPr>
        <w:br w:type="page"/>
      </w:r>
    </w:p>
    <w:p w14:paraId="0E96FF8F">
      <w:pPr>
        <w:spacing w:line="594" w:lineRule="exact"/>
        <w:rPr>
          <w:rFonts w:hint="default" w:ascii="黑体" w:hAnsi="黑体" w:eastAsia="黑体" w:cs="黑体"/>
          <w:snapToGrid/>
          <w:kern w:val="2"/>
          <w:sz w:val="32"/>
          <w:szCs w:val="32"/>
          <w:lang w:val="en-US" w:eastAsia="zh-CN"/>
        </w:rPr>
      </w:pPr>
      <w:r>
        <w:rPr>
          <w:rFonts w:hint="eastAsia" w:ascii="黑体" w:hAnsi="黑体" w:eastAsia="黑体" w:cs="黑体"/>
          <w:snapToGrid/>
          <w:kern w:val="2"/>
          <w:sz w:val="32"/>
          <w:szCs w:val="32"/>
          <w:lang w:val="en-US" w:eastAsia="zh-CN"/>
        </w:rPr>
        <w:t>附件4</w:t>
      </w:r>
    </w:p>
    <w:p w14:paraId="2B82783D">
      <w:pPr>
        <w:spacing w:line="574" w:lineRule="exact"/>
        <w:jc w:val="center"/>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德阳疾控中心安仔形象设计文件</w:t>
      </w:r>
    </w:p>
    <w:p w14:paraId="511B7F88">
      <w:pPr>
        <w:spacing w:line="574" w:lineRule="exact"/>
        <w:jc w:val="center"/>
        <w:rPr>
          <w:rFonts w:hint="eastAsia" w:ascii="方正小标宋简体" w:hAnsi="方正小标宋简体" w:eastAsia="方正小标宋简体" w:cs="方正小标宋简体"/>
          <w:snapToGrid/>
          <w:kern w:val="2"/>
          <w:sz w:val="44"/>
          <w:szCs w:val="44"/>
          <w:lang w:val="en-US" w:eastAsia="zh-CN"/>
        </w:rPr>
      </w:pPr>
      <w:r>
        <w:drawing>
          <wp:anchor distT="0" distB="0" distL="114300" distR="114300" simplePos="0" relativeHeight="251659264" behindDoc="0" locked="0" layoutInCell="1" allowOverlap="1">
            <wp:simplePos x="0" y="0"/>
            <wp:positionH relativeFrom="column">
              <wp:posOffset>-55880</wp:posOffset>
            </wp:positionH>
            <wp:positionV relativeFrom="paragraph">
              <wp:posOffset>407670</wp:posOffset>
            </wp:positionV>
            <wp:extent cx="5687060" cy="3023235"/>
            <wp:effectExtent l="0" t="0" r="12065" b="889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87060" cy="3023235"/>
                    </a:xfrm>
                    <a:prstGeom prst="rect">
                      <a:avLst/>
                    </a:prstGeom>
                    <a:noFill/>
                    <a:ln>
                      <a:noFill/>
                    </a:ln>
                  </pic:spPr>
                </pic:pic>
              </a:graphicData>
            </a:graphic>
          </wp:anchor>
        </w:drawing>
      </w:r>
    </w:p>
    <w:p w14:paraId="477B7FF7">
      <w:pPr>
        <w:rPr>
          <w:rFonts w:hint="eastAsia" w:ascii="方正小标宋简体" w:hAnsi="方正小标宋简体" w:eastAsia="方正小标宋简体" w:cs="方正小标宋简体"/>
          <w:snapToGrid/>
          <w:kern w:val="2"/>
          <w:sz w:val="44"/>
          <w:szCs w:val="44"/>
        </w:rPr>
      </w:pPr>
    </w:p>
    <w:p w14:paraId="064DF43A">
      <w:pPr>
        <w:rPr>
          <w:rFonts w:hint="eastAsia" w:ascii="方正小标宋简体" w:hAnsi="方正小标宋简体" w:eastAsia="方正小标宋简体" w:cs="方正小标宋简体"/>
          <w:snapToGrid/>
          <w:kern w:val="2"/>
          <w:sz w:val="44"/>
          <w:szCs w:val="44"/>
        </w:rPr>
      </w:pPr>
      <w:r>
        <w:drawing>
          <wp:inline distT="0" distB="0" distL="114300" distR="114300">
            <wp:extent cx="5681980" cy="3043555"/>
            <wp:effectExtent l="0" t="0" r="12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681980" cy="3043555"/>
                    </a:xfrm>
                    <a:prstGeom prst="rect">
                      <a:avLst/>
                    </a:prstGeom>
                    <a:noFill/>
                    <a:ln>
                      <a:noFill/>
                    </a:ln>
                  </pic:spPr>
                </pic:pic>
              </a:graphicData>
            </a:graphic>
          </wp:inline>
        </w:drawing>
      </w:r>
    </w:p>
    <w:p w14:paraId="6A5300F1">
      <w:pPr>
        <w:rPr>
          <w:rFonts w:ascii="黑体" w:hAnsi="黑体" w:eastAsia="黑体" w:cs="黑体"/>
          <w:snapToGrid/>
          <w:kern w:val="2"/>
          <w:sz w:val="32"/>
          <w:szCs w:val="32"/>
        </w:rPr>
      </w:pPr>
    </w:p>
    <w:sectPr>
      <w:pgSz w:w="11906" w:h="16838"/>
      <w:pgMar w:top="2098" w:right="1361" w:bottom="1361"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90266F-2135-4A7B-AF2E-C9145C4EDB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C2F56E6-FAEA-4B12-85DD-C8B084F6186B}"/>
  </w:font>
  <w:font w:name="方正小标宋简体">
    <w:panose1 w:val="02000000000000000000"/>
    <w:charset w:val="86"/>
    <w:family w:val="auto"/>
    <w:pitch w:val="default"/>
    <w:sig w:usb0="00000001" w:usb1="08000000" w:usb2="00000000" w:usb3="00000000" w:csb0="00040000" w:csb1="00000000"/>
    <w:embedRegular r:id="rId3" w:fontKey="{FF94806D-78D5-46C0-97EE-3B60E25CAF31}"/>
  </w:font>
  <w:font w:name="仿宋">
    <w:panose1 w:val="02010609060101010101"/>
    <w:charset w:val="86"/>
    <w:family w:val="modern"/>
    <w:pitch w:val="default"/>
    <w:sig w:usb0="800002BF" w:usb1="38CF7CFA" w:usb2="00000016" w:usb3="00000000" w:csb0="00040001" w:csb1="00000000"/>
    <w:embedRegular r:id="rId4" w:fontKey="{EFE6D804-3118-4046-8039-A86DE6FB8CC2}"/>
  </w:font>
  <w:font w:name="楷体_GB2312">
    <w:panose1 w:val="02010609030101010101"/>
    <w:charset w:val="86"/>
    <w:family w:val="auto"/>
    <w:pitch w:val="default"/>
    <w:sig w:usb0="00000001" w:usb1="080E0000" w:usb2="00000000" w:usb3="00000000" w:csb0="00040000" w:csb1="00000000"/>
    <w:embedRegular r:id="rId5" w:fontKey="{70419868-B22D-4E15-8214-CA3116CEE509}"/>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A7268">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D9185">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0ED9185">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B91D9A"/>
    <w:rsid w:val="004B73DB"/>
    <w:rsid w:val="00645991"/>
    <w:rsid w:val="00B5285A"/>
    <w:rsid w:val="00DD3465"/>
    <w:rsid w:val="00E42F31"/>
    <w:rsid w:val="01967DCC"/>
    <w:rsid w:val="021466F2"/>
    <w:rsid w:val="028916DF"/>
    <w:rsid w:val="041871BE"/>
    <w:rsid w:val="04247911"/>
    <w:rsid w:val="0466617C"/>
    <w:rsid w:val="04763EE5"/>
    <w:rsid w:val="049E0421"/>
    <w:rsid w:val="04F25C61"/>
    <w:rsid w:val="06B91D9A"/>
    <w:rsid w:val="0790350F"/>
    <w:rsid w:val="097F55EA"/>
    <w:rsid w:val="0A4D3268"/>
    <w:rsid w:val="0B167DD2"/>
    <w:rsid w:val="0B633415"/>
    <w:rsid w:val="0BDE6F3F"/>
    <w:rsid w:val="0C236700"/>
    <w:rsid w:val="0CFE523C"/>
    <w:rsid w:val="0D1D400F"/>
    <w:rsid w:val="0E1C78AB"/>
    <w:rsid w:val="0E5E7EC3"/>
    <w:rsid w:val="0FA67D74"/>
    <w:rsid w:val="0FAE09D7"/>
    <w:rsid w:val="0FE60171"/>
    <w:rsid w:val="101E3DAE"/>
    <w:rsid w:val="105477D0"/>
    <w:rsid w:val="10F20D97"/>
    <w:rsid w:val="11140D0D"/>
    <w:rsid w:val="112E1DCF"/>
    <w:rsid w:val="117479FE"/>
    <w:rsid w:val="118539B9"/>
    <w:rsid w:val="11A227BD"/>
    <w:rsid w:val="13394A5B"/>
    <w:rsid w:val="13AC347F"/>
    <w:rsid w:val="143A6CDD"/>
    <w:rsid w:val="14C12F5A"/>
    <w:rsid w:val="15515DBB"/>
    <w:rsid w:val="16352BB0"/>
    <w:rsid w:val="163E5980"/>
    <w:rsid w:val="17DD62FD"/>
    <w:rsid w:val="192F2B88"/>
    <w:rsid w:val="19636CD6"/>
    <w:rsid w:val="1A616FE2"/>
    <w:rsid w:val="1AB92840"/>
    <w:rsid w:val="1B4D379A"/>
    <w:rsid w:val="1C876837"/>
    <w:rsid w:val="1CD03B18"/>
    <w:rsid w:val="1DC67833"/>
    <w:rsid w:val="1E7159F1"/>
    <w:rsid w:val="1ED1308B"/>
    <w:rsid w:val="20270A5D"/>
    <w:rsid w:val="205904EB"/>
    <w:rsid w:val="21717AB6"/>
    <w:rsid w:val="21A244F3"/>
    <w:rsid w:val="21BA300B"/>
    <w:rsid w:val="22F10EAE"/>
    <w:rsid w:val="23867849"/>
    <w:rsid w:val="24121D56"/>
    <w:rsid w:val="24704055"/>
    <w:rsid w:val="249D7540"/>
    <w:rsid w:val="24E862E1"/>
    <w:rsid w:val="25E62821"/>
    <w:rsid w:val="26834513"/>
    <w:rsid w:val="26B26BA7"/>
    <w:rsid w:val="2700320B"/>
    <w:rsid w:val="27836464"/>
    <w:rsid w:val="27962024"/>
    <w:rsid w:val="27B34984"/>
    <w:rsid w:val="282D1615"/>
    <w:rsid w:val="28A15125"/>
    <w:rsid w:val="2A17569E"/>
    <w:rsid w:val="2A475858"/>
    <w:rsid w:val="2B74267D"/>
    <w:rsid w:val="2BA07020"/>
    <w:rsid w:val="2BAD1AC2"/>
    <w:rsid w:val="2CA156F3"/>
    <w:rsid w:val="2CBE44F7"/>
    <w:rsid w:val="2CED6B8B"/>
    <w:rsid w:val="2E13617D"/>
    <w:rsid w:val="2E36630F"/>
    <w:rsid w:val="2E5642BC"/>
    <w:rsid w:val="2FFA3A98"/>
    <w:rsid w:val="303B19BB"/>
    <w:rsid w:val="305807BF"/>
    <w:rsid w:val="30696528"/>
    <w:rsid w:val="31BC6B2B"/>
    <w:rsid w:val="31C0661C"/>
    <w:rsid w:val="323A037B"/>
    <w:rsid w:val="33F94067"/>
    <w:rsid w:val="354457B6"/>
    <w:rsid w:val="355E0625"/>
    <w:rsid w:val="3599165E"/>
    <w:rsid w:val="359E4EC6"/>
    <w:rsid w:val="35A41DB0"/>
    <w:rsid w:val="36954C07"/>
    <w:rsid w:val="376E6A0B"/>
    <w:rsid w:val="392F4087"/>
    <w:rsid w:val="394E7395"/>
    <w:rsid w:val="395B4E7C"/>
    <w:rsid w:val="39617CC3"/>
    <w:rsid w:val="396401D4"/>
    <w:rsid w:val="397D1296"/>
    <w:rsid w:val="39C90037"/>
    <w:rsid w:val="3A306308"/>
    <w:rsid w:val="3B9878E7"/>
    <w:rsid w:val="3CC176EC"/>
    <w:rsid w:val="3D714C6E"/>
    <w:rsid w:val="3E3C1720"/>
    <w:rsid w:val="3EF913BF"/>
    <w:rsid w:val="400C0C7E"/>
    <w:rsid w:val="40BE01CA"/>
    <w:rsid w:val="40DC4AF4"/>
    <w:rsid w:val="41650F8E"/>
    <w:rsid w:val="43D47D05"/>
    <w:rsid w:val="43D576B5"/>
    <w:rsid w:val="43DD12AF"/>
    <w:rsid w:val="448160DE"/>
    <w:rsid w:val="448E0F1D"/>
    <w:rsid w:val="44F00B6E"/>
    <w:rsid w:val="46014AC2"/>
    <w:rsid w:val="461940F5"/>
    <w:rsid w:val="466B2BA2"/>
    <w:rsid w:val="47D66741"/>
    <w:rsid w:val="48282D03"/>
    <w:rsid w:val="49AB59AC"/>
    <w:rsid w:val="49B900C8"/>
    <w:rsid w:val="49DE15B8"/>
    <w:rsid w:val="49FA5FEB"/>
    <w:rsid w:val="4A5640C7"/>
    <w:rsid w:val="4BA56E78"/>
    <w:rsid w:val="4BDF36EB"/>
    <w:rsid w:val="4C2F4672"/>
    <w:rsid w:val="4D497E62"/>
    <w:rsid w:val="4D8B1D7C"/>
    <w:rsid w:val="4DFC4A28"/>
    <w:rsid w:val="4E3B7B85"/>
    <w:rsid w:val="4E5403C0"/>
    <w:rsid w:val="4F3F2E1E"/>
    <w:rsid w:val="50395ABF"/>
    <w:rsid w:val="50FE4613"/>
    <w:rsid w:val="51105F78"/>
    <w:rsid w:val="51DC2BA6"/>
    <w:rsid w:val="520D0FB1"/>
    <w:rsid w:val="527E3C5D"/>
    <w:rsid w:val="52C84ED8"/>
    <w:rsid w:val="53D43DC1"/>
    <w:rsid w:val="54D062C6"/>
    <w:rsid w:val="55EB785C"/>
    <w:rsid w:val="56565708"/>
    <w:rsid w:val="56AB6FEB"/>
    <w:rsid w:val="572A6162"/>
    <w:rsid w:val="58D3173C"/>
    <w:rsid w:val="58F24A5D"/>
    <w:rsid w:val="59D33DF5"/>
    <w:rsid w:val="5A3966BC"/>
    <w:rsid w:val="5B127639"/>
    <w:rsid w:val="5B1F47EF"/>
    <w:rsid w:val="5B3C6463"/>
    <w:rsid w:val="5B5A4B3C"/>
    <w:rsid w:val="5BAA161F"/>
    <w:rsid w:val="5D4E450D"/>
    <w:rsid w:val="5D8F4F70"/>
    <w:rsid w:val="5DA36C6E"/>
    <w:rsid w:val="5E9C4600"/>
    <w:rsid w:val="603311BE"/>
    <w:rsid w:val="612B3202"/>
    <w:rsid w:val="61D770D4"/>
    <w:rsid w:val="62B31701"/>
    <w:rsid w:val="63133F4E"/>
    <w:rsid w:val="63A00530"/>
    <w:rsid w:val="64A734EE"/>
    <w:rsid w:val="65493C57"/>
    <w:rsid w:val="655F347A"/>
    <w:rsid w:val="65744A4C"/>
    <w:rsid w:val="659770B8"/>
    <w:rsid w:val="65CC6636"/>
    <w:rsid w:val="667E5B82"/>
    <w:rsid w:val="67ED7463"/>
    <w:rsid w:val="687A4A6F"/>
    <w:rsid w:val="68CF4DBB"/>
    <w:rsid w:val="69F61ED3"/>
    <w:rsid w:val="6BC00D46"/>
    <w:rsid w:val="6C7D68DC"/>
    <w:rsid w:val="6D0843F7"/>
    <w:rsid w:val="6D9B170F"/>
    <w:rsid w:val="6E146DCC"/>
    <w:rsid w:val="6E313E22"/>
    <w:rsid w:val="6E337B9A"/>
    <w:rsid w:val="6E9F0D8B"/>
    <w:rsid w:val="6EC407F2"/>
    <w:rsid w:val="6ECA7170"/>
    <w:rsid w:val="6ED76777"/>
    <w:rsid w:val="6EF410D7"/>
    <w:rsid w:val="6F0155A2"/>
    <w:rsid w:val="6F525DFE"/>
    <w:rsid w:val="6F9560D3"/>
    <w:rsid w:val="6FA61352"/>
    <w:rsid w:val="704C6CF1"/>
    <w:rsid w:val="72181581"/>
    <w:rsid w:val="72EB27F1"/>
    <w:rsid w:val="73163983"/>
    <w:rsid w:val="732E26DE"/>
    <w:rsid w:val="73974727"/>
    <w:rsid w:val="73E6120B"/>
    <w:rsid w:val="742C1313"/>
    <w:rsid w:val="74822CE1"/>
    <w:rsid w:val="74CA6436"/>
    <w:rsid w:val="74FC0CE6"/>
    <w:rsid w:val="755C0BB7"/>
    <w:rsid w:val="75EE2EE6"/>
    <w:rsid w:val="76BB072D"/>
    <w:rsid w:val="77C43611"/>
    <w:rsid w:val="787176F6"/>
    <w:rsid w:val="789A1FF4"/>
    <w:rsid w:val="78AC2A23"/>
    <w:rsid w:val="796E7CD8"/>
    <w:rsid w:val="7A08012D"/>
    <w:rsid w:val="7A1545F8"/>
    <w:rsid w:val="7A4867BE"/>
    <w:rsid w:val="7A544C89"/>
    <w:rsid w:val="7A824267"/>
    <w:rsid w:val="7A884DCA"/>
    <w:rsid w:val="7A97500D"/>
    <w:rsid w:val="7AF64429"/>
    <w:rsid w:val="7B4C4049"/>
    <w:rsid w:val="7B580C40"/>
    <w:rsid w:val="7BAD2537"/>
    <w:rsid w:val="7C605FFE"/>
    <w:rsid w:val="7CF77FE5"/>
    <w:rsid w:val="7DB12889"/>
    <w:rsid w:val="7F052E8D"/>
    <w:rsid w:val="7F533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Autospacing="1" w:afterAutospacing="1"/>
    </w:pPr>
    <w:rPr>
      <w:rFonts w:cs="Times New Roman"/>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Pages>
  <Words>1864</Words>
  <Characters>1934</Characters>
  <Lines>8</Lines>
  <Paragraphs>2</Paragraphs>
  <TotalTime>3</TotalTime>
  <ScaleCrop>false</ScaleCrop>
  <LinksUpToDate>false</LinksUpToDate>
  <CharactersWithSpaces>1940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2025-04-07T09:08:00Z</dcterms:created>
  <dc:creator>dycdc</dc:creator>
  <cp:lastModifiedBy>廖露鸣</cp:lastModifiedBy>
  <dcterms:modified xsi:type="dcterms:W3CDTF">2026-07-21T02:06:13Z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8BE027E7541B48C2B8541466A698DFC9_13</vt:lpwstr>
  </property>
  <property fmtid="{D5CDD505-2E9C-101B-9397-08002B2CF9AE}" pid="4" name="KSOTemplateDocerSaveRecord">
    <vt:lpwstr>eyJoZGlkIjoiYTYyN2E4NTM3OGVkNWIwMDM1ZTM4N2JmZDE1ZjI4NmUiLCJ1c2VySWQiOiIxNjU2ODQxNTc5In0=</vt:lpwstr>
  </property>
</Properties>
</file>