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66753">
      <w:pPr>
        <w:spacing w:line="594" w:lineRule="exact"/>
        <w:rPr>
          <w:rFonts w:ascii="仿宋_GB2312" w:hAnsi="仿宋_GB2312" w:eastAsia="仿宋_GB2312" w:cs="仿宋_GB2312"/>
          <w:snapToGrid/>
          <w:kern w:val="2"/>
          <w:sz w:val="32"/>
          <w:szCs w:val="32"/>
        </w:rPr>
      </w:pPr>
      <w:bookmarkStart w:id="0" w:name="_GoBack"/>
      <w:bookmarkEnd w:id="0"/>
      <w:r>
        <w:rPr>
          <w:rFonts w:hint="eastAsia" w:ascii="黑体" w:hAnsi="黑体" w:eastAsia="黑体" w:cs="黑体"/>
          <w:snapToGrid/>
          <w:kern w:val="2"/>
          <w:sz w:val="32"/>
          <w:szCs w:val="32"/>
        </w:rPr>
        <w:t>附件1：</w:t>
      </w:r>
    </w:p>
    <w:p w14:paraId="17DEB10D">
      <w:pPr>
        <w:spacing w:line="594" w:lineRule="exact"/>
        <w:jc w:val="center"/>
        <w:rPr>
          <w:rFonts w:ascii="方正小标宋简体" w:hAnsi="方正小标宋简体" w:eastAsia="方正小标宋简体" w:cs="方正小标宋简体"/>
          <w:snapToGrid/>
          <w:kern w:val="2"/>
          <w:sz w:val="36"/>
          <w:szCs w:val="36"/>
        </w:rPr>
      </w:pPr>
      <w:r>
        <w:rPr>
          <w:rFonts w:hint="eastAsia" w:ascii="方正小标宋简体" w:hAnsi="方正小标宋简体" w:eastAsia="方正小标宋简体" w:cs="方正小标宋简体"/>
          <w:snapToGrid/>
          <w:kern w:val="2"/>
          <w:sz w:val="36"/>
          <w:szCs w:val="36"/>
        </w:rPr>
        <w:t>采购需求</w:t>
      </w:r>
    </w:p>
    <w:tbl>
      <w:tblPr>
        <w:tblStyle w:val="6"/>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1991"/>
        <w:gridCol w:w="907"/>
      </w:tblGrid>
      <w:tr w14:paraId="2247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521" w:type="dxa"/>
            <w:vAlign w:val="center"/>
          </w:tcPr>
          <w:p w14:paraId="094652E1">
            <w:pPr>
              <w:widowControl/>
              <w:spacing w:line="594" w:lineRule="exact"/>
              <w:jc w:val="center"/>
              <w:rPr>
                <w:rFonts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名称</w:t>
            </w:r>
          </w:p>
        </w:tc>
        <w:tc>
          <w:tcPr>
            <w:tcW w:w="11991" w:type="dxa"/>
            <w:vAlign w:val="center"/>
          </w:tcPr>
          <w:p w14:paraId="2CFDB105">
            <w:pPr>
              <w:widowControl/>
              <w:spacing w:line="594" w:lineRule="exact"/>
              <w:jc w:val="center"/>
              <w:rPr>
                <w:rFonts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需求内容</w:t>
            </w:r>
          </w:p>
        </w:tc>
        <w:tc>
          <w:tcPr>
            <w:tcW w:w="907" w:type="dxa"/>
            <w:vAlign w:val="center"/>
          </w:tcPr>
          <w:p w14:paraId="399FF9BF">
            <w:pPr>
              <w:widowControl/>
              <w:spacing w:line="594" w:lineRule="exact"/>
              <w:jc w:val="center"/>
              <w:rPr>
                <w:rFonts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数量</w:t>
            </w:r>
          </w:p>
        </w:tc>
      </w:tr>
      <w:tr w14:paraId="62D0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dxa"/>
            <w:shd w:val="clear" w:color="auto" w:fill="auto"/>
            <w:vAlign w:val="center"/>
          </w:tcPr>
          <w:p w14:paraId="6D46D143">
            <w:pPr>
              <w:widowControl/>
              <w:spacing w:line="594" w:lineRule="exact"/>
              <w:jc w:val="both"/>
              <w:rPr>
                <w:rFonts w:ascii="仿宋_GB2312" w:hAnsi="仿宋_GB2312" w:eastAsia="仿宋" w:cs="仿宋_GB2312"/>
                <w:snapToGrid/>
                <w:color w:val="000000"/>
                <w:kern w:val="2"/>
                <w:sz w:val="28"/>
                <w:szCs w:val="28"/>
                <w:lang w:val="en-US" w:eastAsia="zh-CN" w:bidi="ar-SA"/>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职业病</w:t>
            </w:r>
            <w:r>
              <w:rPr>
                <w:rFonts w:hint="eastAsia" w:ascii="仿宋" w:hAnsi="仿宋" w:eastAsia="仿宋"/>
                <w:sz w:val="28"/>
                <w:szCs w:val="28"/>
              </w:rPr>
              <w:t>防治知识宣传科普动画制作服务</w:t>
            </w:r>
          </w:p>
        </w:tc>
        <w:tc>
          <w:tcPr>
            <w:tcW w:w="11991" w:type="dxa"/>
            <w:vAlign w:val="center"/>
          </w:tcPr>
          <w:p w14:paraId="2667C94C">
            <w:pPr>
              <w:widowControl/>
              <w:kinsoku/>
              <w:spacing w:line="58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一、项目概况</w:t>
            </w:r>
          </w:p>
          <w:p w14:paraId="0EA15D94">
            <w:pPr>
              <w:widowControl/>
              <w:kinsoku/>
              <w:spacing w:line="58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提升人民群众及广大劳动者对职业病的整体认知和警惕性，普及职业病防治核心知识，我中心计划制作两期科普动画视频。包括但不限于在工厂、医院等室内大型电子显示屏，公共场所多媒体平台、自媒体平台等媒体上进行播放。</w:t>
            </w:r>
          </w:p>
          <w:p w14:paraId="03DCE9A5">
            <w:pPr>
              <w:widowControl/>
              <w:kinsoku/>
              <w:spacing w:line="5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二、采购内容要求</w:t>
            </w:r>
          </w:p>
          <w:p w14:paraId="554992BC">
            <w:pPr>
              <w:widowControl/>
              <w:kinsoku/>
              <w:spacing w:line="58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视频一（工厂版）：面向一线劳动者及职业卫生管理人员，以工厂生产场景为主线，采用写实与示意相结合的动画风格，系统展示常见职业病危害因素、工程控制措施、个人防护用品正确使用、岗位操作规程、职业健康检查的法定要求以及劳动者权利义务。重点强化“正确防护、规范操作”的实操性内容，倡导健康工作与生活方式，帮助用人单位与劳动者共同落实职业病防治责任。</w:t>
            </w:r>
          </w:p>
          <w:p w14:paraId="217D8F13">
            <w:pPr>
              <w:widowControl/>
              <w:kinsoku/>
              <w:spacing w:line="58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视频二（大众版）：面向社会公众，不限于特定行业与年龄，力求覆盖多元职业背景人群。内容应立足现代职业活动特点，系统呈现因工作引发的各类常见健康问题，包括但不限于职业性心理疾病、视屏作业相关健康问题、肌肉骨骼疾病、过劳相关疾病等。通过科普宣教，全面提升全社会对职业活动健康风险的认知度与警惕性，营造理解、关心、支持职业人群健康的良好社会氛围。</w:t>
            </w:r>
          </w:p>
          <w:p w14:paraId="1242E56A">
            <w:pPr>
              <w:widowControl/>
              <w:kinsoku/>
              <w:spacing w:line="58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3.科普宣传动画视频以德阳疾控官方安仔职业病防治卫士为主角，增强系列作品的辨识度和亲和力。</w:t>
            </w:r>
          </w:p>
          <w:p w14:paraId="76B7C070">
            <w:pPr>
              <w:widowControl/>
              <w:kinsoku/>
              <w:spacing w:line="5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.动画需为二维或三维动画，</w:t>
            </w:r>
            <w:r>
              <w:rPr>
                <w:rFonts w:hint="eastAsia" w:ascii="仿宋_GB2312" w:hAnsi="仿宋_GB2312" w:eastAsia="仿宋_GB2312" w:cs="仿宋_GB2312"/>
                <w:sz w:val="28"/>
                <w:szCs w:val="28"/>
                <w:lang w:val="en-US" w:eastAsia="zh-CN"/>
              </w:rPr>
              <w:t>每个动画</w:t>
            </w:r>
            <w:r>
              <w:rPr>
                <w:rFonts w:hint="eastAsia" w:ascii="仿宋_GB2312" w:hAnsi="仿宋_GB2312" w:eastAsia="仿宋_GB2312" w:cs="仿宋_GB2312"/>
                <w:sz w:val="28"/>
                <w:szCs w:val="28"/>
              </w:rPr>
              <w:t>时长</w:t>
            </w:r>
            <w:r>
              <w:rPr>
                <w:rFonts w:hint="eastAsia" w:ascii="仿宋_GB2312" w:hAnsi="仿宋_GB2312" w:eastAsia="仿宋_GB2312" w:cs="仿宋_GB2312"/>
                <w:sz w:val="28"/>
                <w:szCs w:val="28"/>
                <w:lang w:val="en-US" w:eastAsia="zh-CN"/>
              </w:rPr>
              <w:t>90</w:t>
            </w:r>
            <w:r>
              <w:rPr>
                <w:rFonts w:hint="eastAsia" w:ascii="仿宋_GB2312" w:hAnsi="仿宋_GB2312" w:eastAsia="仿宋_GB2312" w:cs="仿宋_GB2312"/>
                <w:sz w:val="28"/>
                <w:szCs w:val="28"/>
              </w:rPr>
              <w:t>秒</w:t>
            </w:r>
            <w:r>
              <w:rPr>
                <w:rFonts w:hint="eastAsia" w:ascii="仿宋_GB2312" w:hAnsi="仿宋_GB2312" w:eastAsia="仿宋_GB2312" w:cs="仿宋_GB2312"/>
                <w:sz w:val="28"/>
                <w:szCs w:val="28"/>
                <w:lang w:val="en-US" w:eastAsia="zh-CN"/>
              </w:rPr>
              <w:t>左右</w:t>
            </w:r>
            <w:r>
              <w:rPr>
                <w:rFonts w:hint="eastAsia" w:ascii="仿宋_GB2312" w:hAnsi="仿宋_GB2312" w:eastAsia="仿宋_GB2312" w:cs="仿宋_GB2312"/>
                <w:sz w:val="28"/>
                <w:szCs w:val="28"/>
              </w:rPr>
              <w:t>，分辨率为1920×1080（300dpi），帧速率为25fps及以上，色彩模式为RGB，交付格式为MP4（H.264编码）+工程文件。</w:t>
            </w:r>
          </w:p>
          <w:p w14:paraId="2771456F">
            <w:pPr>
              <w:widowControl/>
              <w:kinsoku/>
              <w:spacing w:line="5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.动画</w:t>
            </w:r>
            <w:r>
              <w:rPr>
                <w:rFonts w:hint="eastAsia" w:ascii="仿宋_GB2312" w:hAnsi="仿宋_GB2312" w:eastAsia="仿宋_GB2312" w:cs="仿宋_GB2312"/>
                <w:sz w:val="28"/>
                <w:szCs w:val="28"/>
                <w:lang w:eastAsia="zh-CN"/>
              </w:rPr>
              <w:t>须具备</w:t>
            </w:r>
            <w:r>
              <w:rPr>
                <w:rFonts w:hint="eastAsia" w:ascii="仿宋_GB2312" w:hAnsi="仿宋_GB2312" w:eastAsia="仿宋_GB2312" w:cs="仿宋_GB2312"/>
                <w:sz w:val="28"/>
                <w:szCs w:val="28"/>
              </w:rPr>
              <w:t>完整、有吸引力的故事情节，不得简单说教。</w:t>
            </w:r>
          </w:p>
          <w:p w14:paraId="42AB000B">
            <w:pPr>
              <w:widowControl/>
              <w:kinsoku/>
              <w:spacing w:line="5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.项目承接方需有科普动画制作的丰富经验，根据提供的科普资料，撰写动画脚本，通过甲方审核后方能制作。品质上要达到表意清晰，叙事连贯，结构紧凑，动作流畅，色彩稳重，音效和谐。</w:t>
            </w:r>
          </w:p>
          <w:p w14:paraId="07AB2CDB">
            <w:pPr>
              <w:widowControl/>
              <w:kinsoku/>
              <w:spacing w:line="5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.作品需为原创，具有独立知识产权，不得抄袭，中标动画版权归德阳市疾病预防控制中心所有。</w:t>
            </w:r>
          </w:p>
          <w:p w14:paraId="28F691D8">
            <w:pPr>
              <w:widowControl/>
              <w:kinsoku/>
              <w:spacing w:line="5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eastAsia="zh-CN"/>
              </w:rPr>
              <w:t>其他</w:t>
            </w:r>
          </w:p>
          <w:p w14:paraId="3856FA74">
            <w:pPr>
              <w:widowControl/>
              <w:kinsoku/>
              <w:spacing w:line="5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实行总价包干，报价含脚本撰写、分镜绘制、原画绘制、动画制作、配音及后期等采购人指定服务范围内的全部价格，至少包括：服务的价格（包括人工、材料、设备等）；必要的保险费用和各项税金；与本项目有关的其他一切费用。采购人不再支付成交价格以外的任何费用。</w:t>
            </w:r>
          </w:p>
          <w:p w14:paraId="62CF2952">
            <w:pPr>
              <w:widowControl/>
              <w:kinsoku/>
              <w:spacing w:line="580" w:lineRule="exact"/>
              <w:ind w:firstLine="560" w:firstLineChars="200"/>
              <w:jc w:val="both"/>
              <w:rPr>
                <w:rFonts w:ascii="仿宋_GB2312" w:hAnsi="仿宋_GB2312" w:eastAsia="仿宋_GB2312" w:cs="仿宋_GB2312"/>
                <w:snapToGrid/>
                <w:kern w:val="2"/>
                <w:sz w:val="28"/>
                <w:szCs w:val="28"/>
              </w:rPr>
            </w:pPr>
            <w:r>
              <w:rPr>
                <w:rFonts w:hint="eastAsia" w:ascii="仿宋_GB2312" w:hAnsi="仿宋_GB2312" w:eastAsia="仿宋_GB2312" w:cs="仿宋_GB2312"/>
                <w:sz w:val="28"/>
                <w:szCs w:val="28"/>
              </w:rPr>
              <w:t>2.项目承接方需在</w:t>
            </w:r>
            <w:r>
              <w:rPr>
                <w:rFonts w:hint="eastAsia" w:ascii="仿宋_GB2312" w:hAnsi="仿宋_GB2312" w:eastAsia="仿宋_GB2312" w:cs="仿宋_GB2312"/>
                <w:sz w:val="28"/>
                <w:szCs w:val="28"/>
                <w:lang w:val="en-US" w:eastAsia="zh-CN"/>
              </w:rPr>
              <w:t>中标后一个月内</w:t>
            </w:r>
            <w:r>
              <w:rPr>
                <w:rFonts w:hint="eastAsia" w:ascii="仿宋_GB2312" w:hAnsi="仿宋_GB2312" w:eastAsia="仿宋_GB2312" w:cs="仿宋_GB2312"/>
                <w:sz w:val="28"/>
                <w:szCs w:val="28"/>
              </w:rPr>
              <w:t>完成所有制作。</w:t>
            </w:r>
          </w:p>
        </w:tc>
        <w:tc>
          <w:tcPr>
            <w:tcW w:w="907" w:type="dxa"/>
            <w:vAlign w:val="center"/>
          </w:tcPr>
          <w:p w14:paraId="280C601B">
            <w:pPr>
              <w:widowControl/>
              <w:spacing w:line="594" w:lineRule="exact"/>
              <w:jc w:val="center"/>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val="en-US" w:eastAsia="zh-CN"/>
              </w:rPr>
              <w:t>2</w:t>
            </w:r>
          </w:p>
        </w:tc>
      </w:tr>
    </w:tbl>
    <w:p w14:paraId="2741CA2F">
      <w:pPr>
        <w:rPr>
          <w:rFonts w:ascii="黑体" w:hAnsi="黑体" w:eastAsia="黑体" w:cs="黑体"/>
          <w:snapToGrid/>
          <w:kern w:val="2"/>
          <w:sz w:val="32"/>
          <w:szCs w:val="32"/>
        </w:rPr>
      </w:pPr>
    </w:p>
    <w:p w14:paraId="0D86E600">
      <w:pPr>
        <w:rPr>
          <w:rFonts w:ascii="黑体" w:hAnsi="黑体" w:eastAsia="黑体" w:cs="黑体"/>
          <w:snapToGrid/>
          <w:kern w:val="2"/>
          <w:sz w:val="32"/>
          <w:szCs w:val="32"/>
        </w:rPr>
        <w:sectPr>
          <w:pgSz w:w="16838" w:h="11906" w:orient="landscape"/>
          <w:pgMar w:top="1587" w:right="2098" w:bottom="1361" w:left="1361" w:header="851" w:footer="992" w:gutter="0"/>
          <w:cols w:space="0" w:num="1"/>
          <w:docGrid w:type="lines" w:linePitch="312" w:charSpace="0"/>
        </w:sectPr>
      </w:pPr>
    </w:p>
    <w:p w14:paraId="489E78B5">
      <w:pPr>
        <w:spacing w:line="594" w:lineRule="exact"/>
        <w:rPr>
          <w:rFonts w:hint="eastAsia" w:ascii="黑体" w:hAnsi="黑体" w:eastAsia="黑体" w:cs="黑体"/>
          <w:snapToGrid/>
          <w:kern w:val="2"/>
          <w:sz w:val="32"/>
          <w:szCs w:val="32"/>
        </w:rPr>
      </w:pPr>
      <w:r>
        <w:rPr>
          <w:rFonts w:hint="eastAsia" w:ascii="黑体" w:hAnsi="黑体" w:eastAsia="黑体" w:cs="黑体"/>
          <w:snapToGrid/>
          <w:kern w:val="2"/>
          <w:sz w:val="32"/>
          <w:szCs w:val="32"/>
        </w:rPr>
        <w:t>附件2</w:t>
      </w:r>
    </w:p>
    <w:p w14:paraId="5A808149">
      <w:pPr>
        <w:spacing w:line="594" w:lineRule="exact"/>
        <w:jc w:val="center"/>
        <w:rPr>
          <w:rFonts w:hint="eastAsia" w:ascii="方正小标宋简体" w:hAnsi="方正小标宋简体" w:eastAsia="方正小标宋简体" w:cs="方正小标宋简体"/>
          <w:snapToGrid/>
          <w:kern w:val="2"/>
          <w:sz w:val="36"/>
          <w:szCs w:val="36"/>
        </w:rPr>
      </w:pPr>
      <w:r>
        <w:rPr>
          <w:rFonts w:hint="eastAsia" w:ascii="方正小标宋简体" w:hAnsi="方正小标宋简体" w:eastAsia="方正小标宋简体" w:cs="方正小标宋简体"/>
          <w:snapToGrid/>
          <w:kern w:val="2"/>
          <w:sz w:val="36"/>
          <w:szCs w:val="36"/>
        </w:rPr>
        <w:t>综合评分办法</w:t>
      </w:r>
    </w:p>
    <w:p w14:paraId="7D3FBA64">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黑体" w:hAnsi="黑体" w:eastAsia="黑体" w:cs="黑体"/>
          <w:snapToGrid/>
          <w:kern w:val="2"/>
          <w:sz w:val="28"/>
          <w:szCs w:val="28"/>
        </w:rPr>
      </w:pPr>
      <w:r>
        <w:rPr>
          <w:rFonts w:hint="eastAsia" w:ascii="黑体" w:hAnsi="黑体" w:eastAsia="黑体" w:cs="黑体"/>
          <w:snapToGrid/>
          <w:kern w:val="2"/>
          <w:sz w:val="28"/>
          <w:szCs w:val="28"/>
        </w:rPr>
        <w:t>一、评审原则</w:t>
      </w:r>
    </w:p>
    <w:p w14:paraId="187CD7DF">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楷体_GB2312" w:hAnsi="楷体_GB2312" w:eastAsia="楷体_GB2312" w:cs="楷体_GB2312"/>
          <w:snapToGrid/>
          <w:kern w:val="2"/>
          <w:sz w:val="28"/>
          <w:szCs w:val="28"/>
        </w:rPr>
        <w:t>（一）评审小组构成</w:t>
      </w:r>
      <w:r>
        <w:rPr>
          <w:rFonts w:hint="eastAsia" w:ascii="仿宋_GB2312" w:hAnsi="仿宋_GB2312" w:eastAsia="仿宋_GB2312" w:cs="仿宋_GB2312"/>
          <w:snapToGrid/>
          <w:kern w:val="2"/>
          <w:sz w:val="28"/>
          <w:szCs w:val="28"/>
        </w:rPr>
        <w:t>：本项目的评审小组由采购单位组建，成员人数为三人以上（含三人）单数。</w:t>
      </w:r>
    </w:p>
    <w:p w14:paraId="390EDBBC">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楷体_GB2312" w:hAnsi="楷体_GB2312" w:eastAsia="楷体_GB2312" w:cs="楷体_GB2312"/>
          <w:snapToGrid/>
          <w:kern w:val="2"/>
          <w:sz w:val="28"/>
          <w:szCs w:val="28"/>
        </w:rPr>
        <w:t>（二）评审依据</w:t>
      </w:r>
      <w:r>
        <w:rPr>
          <w:rFonts w:hint="eastAsia" w:ascii="仿宋_GB2312" w:hAnsi="仿宋_GB2312" w:eastAsia="仿宋_GB2312" w:cs="仿宋_GB2312"/>
          <w:snapToGrid/>
          <w:kern w:val="2"/>
          <w:sz w:val="28"/>
          <w:szCs w:val="28"/>
        </w:rPr>
        <w:t>：本评审办法和供应商提交的响应文件。</w:t>
      </w:r>
    </w:p>
    <w:p w14:paraId="445FCB1A">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楷体_GB2312" w:hAnsi="楷体_GB2312" w:eastAsia="楷体_GB2312" w:cs="楷体_GB2312"/>
          <w:snapToGrid/>
          <w:kern w:val="2"/>
          <w:sz w:val="28"/>
          <w:szCs w:val="28"/>
        </w:rPr>
        <w:t>（三）评审方法</w:t>
      </w:r>
      <w:r>
        <w:rPr>
          <w:rFonts w:hint="eastAsia" w:ascii="仿宋_GB2312" w:hAnsi="仿宋_GB2312" w:eastAsia="仿宋_GB2312" w:cs="仿宋_GB2312"/>
          <w:snapToGrid/>
          <w:kern w:val="2"/>
          <w:sz w:val="28"/>
          <w:szCs w:val="28"/>
        </w:rPr>
        <w:t>：综合评分法。</w:t>
      </w:r>
    </w:p>
    <w:p w14:paraId="5641C860">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黑体" w:hAnsi="黑体" w:eastAsia="黑体" w:cs="黑体"/>
          <w:snapToGrid/>
          <w:kern w:val="2"/>
          <w:sz w:val="28"/>
          <w:szCs w:val="28"/>
        </w:rPr>
      </w:pPr>
      <w:r>
        <w:rPr>
          <w:rFonts w:hint="eastAsia" w:ascii="黑体" w:hAnsi="黑体" w:eastAsia="黑体" w:cs="黑体"/>
          <w:snapToGrid/>
          <w:kern w:val="2"/>
          <w:sz w:val="28"/>
          <w:szCs w:val="28"/>
        </w:rPr>
        <w:t>二、评审方法</w:t>
      </w:r>
    </w:p>
    <w:p w14:paraId="5C3D1A75">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供应商提交的报价及资格材料经初核符合要求的进入详评，评审小组将按本评审办法和响应文件</w:t>
      </w:r>
      <w:r>
        <w:rPr>
          <w:rFonts w:hint="eastAsia" w:ascii="仿宋_GB2312" w:hAnsi="仿宋_GB2312" w:eastAsia="仿宋_GB2312" w:cs="仿宋_GB2312"/>
          <w:snapToGrid/>
          <w:kern w:val="2"/>
          <w:sz w:val="28"/>
          <w:szCs w:val="28"/>
          <w:lang w:val="en-US" w:eastAsia="zh-CN"/>
        </w:rPr>
        <w:t>作</w:t>
      </w:r>
      <w:r>
        <w:rPr>
          <w:rFonts w:hint="eastAsia" w:ascii="仿宋_GB2312" w:hAnsi="仿宋_GB2312" w:eastAsia="仿宋_GB2312" w:cs="仿宋_GB2312"/>
          <w:snapToGrid/>
          <w:kern w:val="2"/>
          <w:sz w:val="28"/>
          <w:szCs w:val="28"/>
        </w:rPr>
        <w:t>为评定依据，采用百分制综合评分法：</w:t>
      </w:r>
    </w:p>
    <w:p w14:paraId="3FF5AD9B">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评分细则（按四舍五入取至百分位）：</w:t>
      </w:r>
    </w:p>
    <w:p w14:paraId="390695AB">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楷体_GB2312" w:hAnsi="楷体_GB2312" w:eastAsia="楷体_GB2312" w:cs="楷体_GB2312"/>
          <w:snapToGrid/>
          <w:kern w:val="2"/>
          <w:sz w:val="28"/>
          <w:szCs w:val="28"/>
        </w:rPr>
      </w:pPr>
      <w:r>
        <w:rPr>
          <w:rFonts w:hint="eastAsia" w:ascii="楷体_GB2312" w:hAnsi="楷体_GB2312" w:eastAsia="楷体_GB2312" w:cs="楷体_GB2312"/>
          <w:snapToGrid/>
          <w:kern w:val="2"/>
          <w:sz w:val="28"/>
          <w:szCs w:val="28"/>
        </w:rPr>
        <w:t>1.价格分（满分</w:t>
      </w:r>
      <w:r>
        <w:rPr>
          <w:rFonts w:hint="eastAsia" w:ascii="楷体_GB2312" w:hAnsi="楷体_GB2312" w:eastAsia="楷体_GB2312" w:cs="楷体_GB2312"/>
          <w:snapToGrid/>
          <w:kern w:val="2"/>
          <w:sz w:val="28"/>
          <w:szCs w:val="28"/>
          <w:lang w:val="en-US" w:eastAsia="zh-CN"/>
        </w:rPr>
        <w:t>10</w:t>
      </w:r>
      <w:r>
        <w:rPr>
          <w:rFonts w:hint="eastAsia" w:ascii="楷体_GB2312" w:hAnsi="楷体_GB2312" w:eastAsia="楷体_GB2312" w:cs="楷体_GB2312"/>
          <w:snapToGrid/>
          <w:kern w:val="2"/>
          <w:sz w:val="28"/>
          <w:szCs w:val="28"/>
        </w:rPr>
        <w:t>分）</w:t>
      </w:r>
    </w:p>
    <w:p w14:paraId="3A68D378">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统一采用低价优先法计算，即满足招标文件要求且投标价格最低的投标报价为评标基准价，其价格分为满分。其他投标人的价格分统一按照下列公式计算：</w:t>
      </w:r>
    </w:p>
    <w:p w14:paraId="4A6D99C4">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投标报价得分=(评标基准价／投标报价)×价格权值×100。</w:t>
      </w:r>
    </w:p>
    <w:p w14:paraId="08F12F33">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注：报价超过预算总价20000元，价格分为0分。</w:t>
      </w:r>
    </w:p>
    <w:p w14:paraId="1F6BE12A">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楷体_GB2312" w:hAnsi="楷体_GB2312" w:eastAsia="楷体_GB2312" w:cs="楷体_GB2312"/>
          <w:snapToGrid/>
          <w:kern w:val="2"/>
          <w:sz w:val="28"/>
          <w:szCs w:val="28"/>
        </w:rPr>
      </w:pPr>
      <w:r>
        <w:rPr>
          <w:rFonts w:hint="eastAsia" w:ascii="楷体_GB2312" w:hAnsi="楷体_GB2312" w:eastAsia="楷体_GB2312" w:cs="楷体_GB2312"/>
          <w:snapToGrid/>
          <w:kern w:val="2"/>
          <w:sz w:val="28"/>
          <w:szCs w:val="28"/>
        </w:rPr>
        <w:t>2.技术支持分（满分10分）</w:t>
      </w:r>
    </w:p>
    <w:p w14:paraId="0556DC18">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拟投入本项目的人员专业结构合理，设备专业、充足，以保证项目工作质量。</w:t>
      </w:r>
    </w:p>
    <w:p w14:paraId="2051635A">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rPr>
        <w:t>（1）拟投入动画专业学士学位人员，每1人得分3分，满分6分。（须在询价文件中提供人员学位证书复印件及近半年任意三个月的社保证明复印件，并加盖供应商公章，否则不得分）</w:t>
      </w:r>
      <w:r>
        <w:rPr>
          <w:rFonts w:hint="eastAsia" w:ascii="仿宋_GB2312" w:hAnsi="仿宋_GB2312" w:eastAsia="仿宋_GB2312" w:cs="仿宋_GB2312"/>
          <w:snapToGrid/>
          <w:kern w:val="2"/>
          <w:sz w:val="28"/>
          <w:szCs w:val="28"/>
          <w:lang w:eastAsia="zh-CN"/>
        </w:rPr>
        <w:t>。</w:t>
      </w:r>
    </w:p>
    <w:p w14:paraId="424866A8">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2）供应商具备制作、后期所需的仪器设施和软件，包含工作站、工作站软件系统、专业视频非线性编辑软件、调色软件、音频后期制作软件等。具备上述5项得4分，缺少任何一项不得分。（须列明清单加盖供应商公章，否则不得分）。</w:t>
      </w:r>
    </w:p>
    <w:p w14:paraId="54F498C6">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楷体_GB2312" w:hAnsi="楷体_GB2312" w:eastAsia="楷体_GB2312" w:cs="楷体_GB2312"/>
          <w:snapToGrid/>
          <w:kern w:val="2"/>
          <w:sz w:val="28"/>
          <w:szCs w:val="28"/>
        </w:rPr>
      </w:pPr>
      <w:r>
        <w:rPr>
          <w:rFonts w:hint="eastAsia" w:ascii="楷体_GB2312" w:hAnsi="楷体_GB2312" w:eastAsia="楷体_GB2312" w:cs="楷体_GB2312"/>
          <w:snapToGrid/>
          <w:kern w:val="2"/>
          <w:sz w:val="28"/>
          <w:szCs w:val="28"/>
        </w:rPr>
        <w:t>3.动画脚本设计方案分（满分</w:t>
      </w:r>
      <w:r>
        <w:rPr>
          <w:rFonts w:hint="eastAsia" w:ascii="楷体_GB2312" w:hAnsi="楷体_GB2312" w:eastAsia="楷体_GB2312" w:cs="楷体_GB2312"/>
          <w:snapToGrid/>
          <w:kern w:val="2"/>
          <w:sz w:val="28"/>
          <w:szCs w:val="28"/>
          <w:lang w:val="en-US" w:eastAsia="zh-CN"/>
        </w:rPr>
        <w:t>40</w:t>
      </w:r>
      <w:r>
        <w:rPr>
          <w:rFonts w:hint="eastAsia" w:ascii="楷体_GB2312" w:hAnsi="楷体_GB2312" w:eastAsia="楷体_GB2312" w:cs="楷体_GB2312"/>
          <w:snapToGrid/>
          <w:kern w:val="2"/>
          <w:sz w:val="28"/>
          <w:szCs w:val="28"/>
        </w:rPr>
        <w:t>分）</w:t>
      </w:r>
    </w:p>
    <w:p w14:paraId="4DAA5390">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三档（</w:t>
      </w:r>
      <w:r>
        <w:rPr>
          <w:rFonts w:hint="eastAsia" w:ascii="仿宋_GB2312" w:hAnsi="仿宋_GB2312" w:eastAsia="仿宋_GB2312" w:cs="仿宋_GB2312"/>
          <w:snapToGrid/>
          <w:kern w:val="2"/>
          <w:sz w:val="28"/>
          <w:szCs w:val="28"/>
          <w:lang w:val="en-US" w:eastAsia="zh-CN"/>
        </w:rPr>
        <w:t>20</w:t>
      </w:r>
      <w:r>
        <w:rPr>
          <w:rFonts w:hint="eastAsia" w:ascii="仿宋_GB2312" w:hAnsi="仿宋_GB2312" w:eastAsia="仿宋_GB2312" w:cs="仿宋_GB2312"/>
          <w:snapToGrid/>
          <w:kern w:val="2"/>
          <w:sz w:val="28"/>
          <w:szCs w:val="28"/>
        </w:rPr>
        <w:t>分）：总体设计理念陈旧，对展示目标、动画主题不突出，展现形式单一。</w:t>
      </w:r>
    </w:p>
    <w:p w14:paraId="175CC508">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二档（</w:t>
      </w:r>
      <w:r>
        <w:rPr>
          <w:rFonts w:hint="eastAsia" w:ascii="仿宋_GB2312" w:hAnsi="仿宋_GB2312" w:eastAsia="仿宋_GB2312" w:cs="仿宋_GB2312"/>
          <w:snapToGrid/>
          <w:kern w:val="2"/>
          <w:sz w:val="28"/>
          <w:szCs w:val="28"/>
          <w:lang w:val="en-US" w:eastAsia="zh-CN"/>
        </w:rPr>
        <w:t>30</w:t>
      </w:r>
      <w:r>
        <w:rPr>
          <w:rFonts w:hint="eastAsia" w:ascii="仿宋_GB2312" w:hAnsi="仿宋_GB2312" w:eastAsia="仿宋_GB2312" w:cs="仿宋_GB2312"/>
          <w:snapToGrid/>
          <w:kern w:val="2"/>
          <w:sz w:val="28"/>
          <w:szCs w:val="28"/>
        </w:rPr>
        <w:t>分）：总体设计理念一般，对展示目标、动画主题能基本达到，展现形式一般。</w:t>
      </w:r>
    </w:p>
    <w:p w14:paraId="720E6559">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一档（</w:t>
      </w:r>
      <w:r>
        <w:rPr>
          <w:rFonts w:hint="eastAsia" w:ascii="仿宋_GB2312" w:hAnsi="仿宋_GB2312" w:eastAsia="仿宋_GB2312" w:cs="仿宋_GB2312"/>
          <w:snapToGrid/>
          <w:kern w:val="2"/>
          <w:sz w:val="28"/>
          <w:szCs w:val="28"/>
          <w:lang w:val="en-US" w:eastAsia="zh-CN"/>
        </w:rPr>
        <w:t>40</w:t>
      </w:r>
      <w:r>
        <w:rPr>
          <w:rFonts w:hint="eastAsia" w:ascii="仿宋_GB2312" w:hAnsi="仿宋_GB2312" w:eastAsia="仿宋_GB2312" w:cs="仿宋_GB2312"/>
          <w:snapToGrid/>
          <w:kern w:val="2"/>
          <w:sz w:val="28"/>
          <w:szCs w:val="28"/>
        </w:rPr>
        <w:t>分）：总体设计理念先进、新颖，对展示目标、动画主题能够完善提高，展现形式有亮点。</w:t>
      </w:r>
    </w:p>
    <w:p w14:paraId="2251D5CF">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楷体_GB2312" w:hAnsi="楷体_GB2312" w:eastAsia="楷体_GB2312" w:cs="楷体_GB2312"/>
          <w:snapToGrid/>
          <w:kern w:val="2"/>
          <w:sz w:val="28"/>
          <w:szCs w:val="28"/>
        </w:rPr>
      </w:pPr>
      <w:r>
        <w:rPr>
          <w:rFonts w:hint="eastAsia" w:ascii="楷体_GB2312" w:hAnsi="楷体_GB2312" w:eastAsia="楷体_GB2312" w:cs="楷体_GB2312"/>
          <w:snapToGrid/>
          <w:kern w:val="2"/>
          <w:sz w:val="28"/>
          <w:szCs w:val="28"/>
        </w:rPr>
        <w:t>4.信誉业绩分（满分</w:t>
      </w:r>
      <w:r>
        <w:rPr>
          <w:rFonts w:hint="eastAsia" w:ascii="楷体_GB2312" w:hAnsi="楷体_GB2312" w:eastAsia="楷体_GB2312" w:cs="楷体_GB2312"/>
          <w:snapToGrid/>
          <w:kern w:val="2"/>
          <w:sz w:val="28"/>
          <w:szCs w:val="28"/>
          <w:lang w:val="en-US" w:eastAsia="zh-CN"/>
        </w:rPr>
        <w:t>40</w:t>
      </w:r>
      <w:r>
        <w:rPr>
          <w:rFonts w:hint="eastAsia" w:ascii="楷体_GB2312" w:hAnsi="楷体_GB2312" w:eastAsia="楷体_GB2312" w:cs="楷体_GB2312"/>
          <w:snapToGrid/>
          <w:kern w:val="2"/>
          <w:sz w:val="28"/>
          <w:szCs w:val="28"/>
        </w:rPr>
        <w:t>分）</w:t>
      </w:r>
    </w:p>
    <w:p w14:paraId="6C047B9F">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rPr>
        <w:t>（</w:t>
      </w:r>
      <w:r>
        <w:rPr>
          <w:rFonts w:hint="eastAsia" w:ascii="仿宋_GB2312" w:hAnsi="仿宋_GB2312" w:eastAsia="仿宋_GB2312" w:cs="仿宋_GB2312"/>
          <w:snapToGrid/>
          <w:kern w:val="2"/>
          <w:sz w:val="28"/>
          <w:szCs w:val="28"/>
          <w:lang w:val="en-US" w:eastAsia="zh-CN"/>
        </w:rPr>
        <w:t>1</w:t>
      </w:r>
      <w:r>
        <w:rPr>
          <w:rFonts w:hint="eastAsia" w:ascii="仿宋_GB2312" w:hAnsi="仿宋_GB2312" w:eastAsia="仿宋_GB2312" w:cs="仿宋_GB2312"/>
          <w:snapToGrid/>
          <w:kern w:val="2"/>
          <w:sz w:val="28"/>
          <w:szCs w:val="28"/>
        </w:rPr>
        <w:t>）供应商获得科普产品相关的省部级及以上的荣誉、奖励，每项得</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rPr>
        <w:t>分，满分</w:t>
      </w:r>
      <w:r>
        <w:rPr>
          <w:rFonts w:hint="eastAsia" w:ascii="仿宋_GB2312" w:hAnsi="仿宋_GB2312" w:eastAsia="仿宋_GB2312" w:cs="仿宋_GB2312"/>
          <w:snapToGrid/>
          <w:kern w:val="2"/>
          <w:sz w:val="28"/>
          <w:szCs w:val="28"/>
          <w:lang w:val="en-US" w:eastAsia="zh-CN"/>
        </w:rPr>
        <w:t>20</w:t>
      </w:r>
      <w:r>
        <w:rPr>
          <w:rFonts w:hint="eastAsia" w:ascii="仿宋_GB2312" w:hAnsi="仿宋_GB2312" w:eastAsia="仿宋_GB2312" w:cs="仿宋_GB2312"/>
          <w:snapToGrid/>
          <w:kern w:val="2"/>
          <w:sz w:val="28"/>
          <w:szCs w:val="28"/>
        </w:rPr>
        <w:t>分。（须提供获奖证书或红头文件复印件加盖供应商公章，否则不得分）</w:t>
      </w:r>
      <w:r>
        <w:rPr>
          <w:rFonts w:hint="eastAsia" w:ascii="仿宋_GB2312" w:hAnsi="仿宋_GB2312" w:eastAsia="仿宋_GB2312" w:cs="仿宋_GB2312"/>
          <w:snapToGrid/>
          <w:kern w:val="2"/>
          <w:sz w:val="28"/>
          <w:szCs w:val="28"/>
          <w:lang w:eastAsia="zh-CN"/>
        </w:rPr>
        <w:t>。</w:t>
      </w:r>
    </w:p>
    <w:p w14:paraId="73ABC0A4">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rPr>
        <w:t>（</w:t>
      </w:r>
      <w:r>
        <w:rPr>
          <w:rFonts w:hint="eastAsia" w:ascii="仿宋_GB2312" w:hAnsi="仿宋_GB2312" w:eastAsia="仿宋_GB2312" w:cs="仿宋_GB2312"/>
          <w:snapToGrid/>
          <w:kern w:val="2"/>
          <w:sz w:val="28"/>
          <w:szCs w:val="28"/>
          <w:lang w:val="en-US" w:eastAsia="zh-CN"/>
        </w:rPr>
        <w:t>2</w:t>
      </w:r>
      <w:r>
        <w:rPr>
          <w:rFonts w:hint="eastAsia" w:ascii="仿宋_GB2312" w:hAnsi="仿宋_GB2312" w:eastAsia="仿宋_GB2312" w:cs="仿宋_GB2312"/>
          <w:snapToGrid/>
          <w:kern w:val="2"/>
          <w:sz w:val="28"/>
          <w:szCs w:val="28"/>
        </w:rPr>
        <w:t>）供应商2021年以来有承接过类似本项目的业绩，每项得</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rPr>
        <w:t>分，满分</w:t>
      </w:r>
      <w:r>
        <w:rPr>
          <w:rFonts w:hint="eastAsia" w:ascii="仿宋_GB2312" w:hAnsi="仿宋_GB2312" w:eastAsia="仿宋_GB2312" w:cs="仿宋_GB2312"/>
          <w:snapToGrid/>
          <w:kern w:val="2"/>
          <w:sz w:val="28"/>
          <w:szCs w:val="28"/>
          <w:lang w:val="en-US" w:eastAsia="zh-CN"/>
        </w:rPr>
        <w:t>20</w:t>
      </w:r>
      <w:r>
        <w:rPr>
          <w:rFonts w:hint="eastAsia" w:ascii="仿宋_GB2312" w:hAnsi="仿宋_GB2312" w:eastAsia="仿宋_GB2312" w:cs="仿宋_GB2312"/>
          <w:snapToGrid/>
          <w:kern w:val="2"/>
          <w:sz w:val="28"/>
          <w:szCs w:val="28"/>
        </w:rPr>
        <w:t>分。（须提供</w:t>
      </w:r>
      <w:r>
        <w:rPr>
          <w:rFonts w:hint="eastAsia" w:ascii="仿宋_GB2312" w:hAnsi="仿宋_GB2312" w:eastAsia="仿宋_GB2312" w:cs="仿宋_GB2312"/>
          <w:snapToGrid/>
          <w:kern w:val="2"/>
          <w:sz w:val="28"/>
          <w:szCs w:val="28"/>
          <w:lang w:val="en-US" w:eastAsia="zh-CN"/>
        </w:rPr>
        <w:t>原片、</w:t>
      </w:r>
      <w:r>
        <w:rPr>
          <w:rFonts w:hint="eastAsia" w:ascii="仿宋_GB2312" w:hAnsi="仿宋_GB2312" w:eastAsia="仿宋_GB2312" w:cs="仿宋_GB2312"/>
          <w:snapToGrid/>
          <w:kern w:val="2"/>
          <w:sz w:val="28"/>
          <w:szCs w:val="28"/>
        </w:rPr>
        <w:t>成交通知书或合同复印件，复印件加盖供应商公章，否则不得分）</w:t>
      </w:r>
      <w:r>
        <w:rPr>
          <w:rFonts w:hint="eastAsia" w:ascii="仿宋_GB2312" w:hAnsi="仿宋_GB2312" w:eastAsia="仿宋_GB2312" w:cs="仿宋_GB2312"/>
          <w:snapToGrid/>
          <w:kern w:val="2"/>
          <w:sz w:val="28"/>
          <w:szCs w:val="28"/>
          <w:lang w:eastAsia="zh-CN"/>
        </w:rPr>
        <w:t>。</w:t>
      </w:r>
    </w:p>
    <w:p w14:paraId="4A2EE150">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rPr>
        <w:t>总分值=1+2+3+4</w:t>
      </w:r>
      <w:r>
        <w:rPr>
          <w:rFonts w:hint="eastAsia" w:ascii="仿宋_GB2312" w:hAnsi="仿宋_GB2312" w:eastAsia="仿宋_GB2312" w:cs="仿宋_GB2312"/>
          <w:snapToGrid/>
          <w:kern w:val="2"/>
          <w:sz w:val="28"/>
          <w:szCs w:val="28"/>
          <w:lang w:eastAsia="zh-CN"/>
        </w:rPr>
        <w:t>。</w:t>
      </w:r>
    </w:p>
    <w:p w14:paraId="7B649D8E">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黑体" w:hAnsi="黑体" w:eastAsia="黑体" w:cs="黑体"/>
          <w:snapToGrid/>
          <w:kern w:val="2"/>
          <w:sz w:val="28"/>
          <w:szCs w:val="28"/>
        </w:rPr>
      </w:pPr>
      <w:r>
        <w:rPr>
          <w:rFonts w:hint="eastAsia" w:ascii="黑体" w:hAnsi="黑体" w:eastAsia="黑体" w:cs="黑体"/>
          <w:snapToGrid/>
          <w:kern w:val="2"/>
          <w:sz w:val="28"/>
          <w:szCs w:val="28"/>
        </w:rPr>
        <w:t>三、成交候选人推荐原则</w:t>
      </w:r>
    </w:p>
    <w:p w14:paraId="19DD7AF9">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pPr>
      <w:r>
        <w:rPr>
          <w:rFonts w:hint="eastAsia" w:ascii="仿宋_GB2312" w:hAnsi="仿宋_GB2312" w:eastAsia="仿宋_GB2312" w:cs="仿宋_GB2312"/>
          <w:snapToGrid/>
          <w:kern w:val="2"/>
          <w:sz w:val="28"/>
          <w:szCs w:val="28"/>
        </w:rPr>
        <w:t>本次询价实行一次性报价，报出后不得更改。根据供应商提交的材料进行综合评分，按照得分由高到低顺序得出成交候选人名单，评审得分相同的，按照最后报价（不计算价格折扣）由低到高排序，评审得分且最后报价（不计算价格折扣）相同的，按照技术指标（技术支持+动画脚本设计方案分）优劣排序。成交原则为得分排序第一的报价人，如报价人因不可抗力提出不能履行合同，顺位选择第二排名的报价人，以此类推。</w:t>
      </w:r>
    </w:p>
    <w:p w14:paraId="76B855FF">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jc w:val="both"/>
        <w:textAlignment w:val="baseline"/>
        <w:rPr>
          <w:rFonts w:hint="eastAsia" w:ascii="仿宋_GB2312" w:hAnsi="仿宋_GB2312" w:eastAsia="仿宋_GB2312" w:cs="仿宋_GB2312"/>
          <w:snapToGrid/>
          <w:kern w:val="2"/>
          <w:sz w:val="28"/>
          <w:szCs w:val="28"/>
        </w:rPr>
        <w:sectPr>
          <w:pgSz w:w="11906" w:h="16838"/>
          <w:pgMar w:top="2098" w:right="1361" w:bottom="1361" w:left="1587" w:header="851" w:footer="992" w:gutter="0"/>
          <w:cols w:space="0" w:num="1"/>
          <w:docGrid w:type="lines" w:linePitch="312" w:charSpace="0"/>
        </w:sectPr>
      </w:pPr>
    </w:p>
    <w:p w14:paraId="516476B7">
      <w:pPr>
        <w:spacing w:line="594" w:lineRule="exact"/>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rPr>
        <w:t>附件</w:t>
      </w:r>
      <w:r>
        <w:rPr>
          <w:rFonts w:hint="eastAsia" w:ascii="黑体" w:hAnsi="黑体" w:eastAsia="黑体" w:cs="黑体"/>
          <w:snapToGrid/>
          <w:kern w:val="2"/>
          <w:sz w:val="32"/>
          <w:szCs w:val="32"/>
          <w:lang w:val="en-US" w:eastAsia="zh-CN"/>
        </w:rPr>
        <w:t>3</w:t>
      </w:r>
    </w:p>
    <w:p w14:paraId="234E5247">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职业</w:t>
      </w:r>
      <w:r>
        <w:rPr>
          <w:rFonts w:hint="eastAsia" w:ascii="方正小标宋简体" w:hAnsi="方正小标宋简体" w:eastAsia="方正小标宋简体" w:cs="方正小标宋简体"/>
          <w:sz w:val="36"/>
          <w:szCs w:val="36"/>
          <w:highlight w:val="none"/>
        </w:rPr>
        <w:t>病防治知识</w:t>
      </w:r>
    </w:p>
    <w:p w14:paraId="1F04B248">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lang w:val="en-US" w:eastAsia="zh-CN"/>
        </w:rPr>
      </w:pPr>
    </w:p>
    <w:p w14:paraId="7A987DEC">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default" w:ascii="Arial" w:hAnsi="Arial" w:eastAsia="仿宋_GB2312" w:cs="Arial"/>
          <w:sz w:val="28"/>
          <w:szCs w:val="28"/>
          <w:lang w:val="en-US" w:eastAsia="zh-CN"/>
        </w:rPr>
      </w:pPr>
      <w:r>
        <w:rPr>
          <w:rFonts w:hint="eastAsia" w:ascii="仿宋_GB2312" w:hAnsi="仿宋_GB2312" w:eastAsia="仿宋_GB2312" w:cs="仿宋_GB2312"/>
          <w:sz w:val="28"/>
          <w:szCs w:val="28"/>
          <w:lang w:val="en-US" w:eastAsia="zh-CN"/>
        </w:rPr>
        <w:t>1.《中华人民共和国职业病防治法》（公布日期：2018-12-29）</w:t>
      </w:r>
    </w:p>
    <w:p w14:paraId="5BFF3D85">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2.《职业健康素养60条》</w:t>
      </w:r>
    </w:p>
    <w:p w14:paraId="515993E1">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3.GBZ 337—2025《职业性创伤后应激障碍诊断标准》宣传折页</w:t>
      </w:r>
    </w:p>
    <w:p w14:paraId="03021C54">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default" w:ascii="仿宋_GB2312" w:hAnsi="仿宋_GB2312" w:eastAsia="仿宋_GB2312" w:cs="仿宋_GB2312"/>
          <w:sz w:val="28"/>
          <w:szCs w:val="28"/>
          <w:lang w:val="en-US" w:eastAsia="zh-CN"/>
        </w:rPr>
      </w:pPr>
    </w:p>
    <w:p w14:paraId="27C5D2D7">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default" w:ascii="方正小标宋简体" w:hAnsi="方正小标宋简体" w:eastAsia="方正小标宋简体" w:cs="方正小标宋简体"/>
          <w:snapToGrid w:val="0"/>
          <w:color w:val="000000"/>
          <w:sz w:val="28"/>
          <w:szCs w:val="28"/>
          <w:lang w:val="en-US" w:eastAsia="zh-CN" w:bidi="ar-SA"/>
        </w:rPr>
      </w:pPr>
    </w:p>
    <w:p w14:paraId="23ED9F3D">
      <w:pPr>
        <w:keepNext w:val="0"/>
        <w:keepLines w:val="0"/>
        <w:pageBreakBefore w:val="0"/>
        <w:numPr>
          <w:ilvl w:val="0"/>
          <w:numId w:val="0"/>
        </w:numPr>
        <w:kinsoku/>
        <w:wordWrap/>
        <w:overflowPunct/>
        <w:topLinePunct w:val="0"/>
        <w:autoSpaceDE/>
        <w:autoSpaceDN/>
        <w:bidi w:val="0"/>
        <w:adjustRightInd/>
        <w:snapToGrid/>
        <w:spacing w:line="578" w:lineRule="exact"/>
        <w:jc w:val="left"/>
        <w:textAlignment w:val="auto"/>
        <w:rPr>
          <w:rFonts w:hint="default" w:ascii="仿宋_GB2312" w:hAnsi="仿宋_GB2312" w:eastAsia="仿宋_GB2312" w:cs="仿宋_GB2312"/>
          <w:sz w:val="28"/>
          <w:szCs w:val="28"/>
          <w:lang w:val="en-US" w:eastAsia="zh-CN"/>
        </w:rPr>
      </w:pPr>
    </w:p>
    <w:p w14:paraId="55720A09">
      <w:pPr>
        <w:spacing w:line="594" w:lineRule="exact"/>
        <w:rPr>
          <w:rFonts w:hint="eastAsia" w:ascii="黑体" w:hAnsi="黑体" w:eastAsia="黑体" w:cs="黑体"/>
          <w:snapToGrid/>
          <w:kern w:val="2"/>
          <w:sz w:val="28"/>
          <w:szCs w:val="28"/>
          <w:lang w:val="en-US" w:eastAsia="zh-CN"/>
        </w:rPr>
      </w:pPr>
    </w:p>
    <w:p w14:paraId="680C4880">
      <w:pPr>
        <w:spacing w:line="594" w:lineRule="exact"/>
        <w:rPr>
          <w:rFonts w:hint="eastAsia" w:ascii="黑体" w:hAnsi="黑体" w:eastAsia="黑体" w:cs="黑体"/>
          <w:snapToGrid/>
          <w:kern w:val="2"/>
          <w:sz w:val="28"/>
          <w:szCs w:val="28"/>
          <w:lang w:val="en-US" w:eastAsia="zh-CN"/>
        </w:rPr>
      </w:pPr>
    </w:p>
    <w:p w14:paraId="6F70CDB8">
      <w:pPr>
        <w:spacing w:line="594" w:lineRule="exact"/>
        <w:rPr>
          <w:rFonts w:hint="eastAsia" w:ascii="黑体" w:hAnsi="黑体" w:eastAsia="黑体" w:cs="黑体"/>
          <w:snapToGrid/>
          <w:kern w:val="2"/>
          <w:sz w:val="28"/>
          <w:szCs w:val="28"/>
          <w:lang w:val="en-US" w:eastAsia="zh-CN"/>
        </w:rPr>
      </w:pPr>
    </w:p>
    <w:p w14:paraId="6C781C78">
      <w:pPr>
        <w:spacing w:line="594" w:lineRule="exact"/>
        <w:rPr>
          <w:rFonts w:hint="eastAsia" w:ascii="黑体" w:hAnsi="黑体" w:eastAsia="黑体" w:cs="黑体"/>
          <w:snapToGrid/>
          <w:kern w:val="2"/>
          <w:sz w:val="28"/>
          <w:szCs w:val="28"/>
          <w:lang w:val="en-US" w:eastAsia="zh-CN"/>
        </w:rPr>
      </w:pPr>
    </w:p>
    <w:p w14:paraId="6677D7FB">
      <w:pPr>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br w:type="page"/>
      </w:r>
    </w:p>
    <w:p w14:paraId="09D57E3F">
      <w:pPr>
        <w:spacing w:line="594" w:lineRule="exact"/>
        <w:rPr>
          <w:rFonts w:hint="default"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附件4</w:t>
      </w:r>
    </w:p>
    <w:p w14:paraId="351AFE4C">
      <w:pPr>
        <w:spacing w:line="574" w:lineRule="exact"/>
        <w:jc w:val="center"/>
        <w:rPr>
          <w:rFonts w:hint="eastAsia" w:ascii="方正小标宋简体" w:hAnsi="方正小标宋简体" w:eastAsia="方正小标宋简体" w:cs="方正小标宋简体"/>
          <w:snapToGrid/>
          <w:kern w:val="2"/>
          <w:sz w:val="36"/>
          <w:szCs w:val="36"/>
          <w:lang w:val="en-US" w:eastAsia="zh-CN"/>
        </w:rPr>
      </w:pPr>
      <w:r>
        <w:rPr>
          <w:rFonts w:hint="eastAsia" w:ascii="方正小标宋简体" w:hAnsi="方正小标宋简体" w:eastAsia="方正小标宋简体" w:cs="方正小标宋简体"/>
          <w:snapToGrid/>
          <w:kern w:val="2"/>
          <w:sz w:val="36"/>
          <w:szCs w:val="36"/>
          <w:lang w:val="en-US" w:eastAsia="zh-CN"/>
        </w:rPr>
        <w:t>德阳市疾病预防控制中心安仔形象设计文件</w:t>
      </w:r>
    </w:p>
    <w:p w14:paraId="079BE045">
      <w:pPr>
        <w:spacing w:line="574" w:lineRule="exact"/>
        <w:jc w:val="center"/>
        <w:rPr>
          <w:rFonts w:hint="eastAsia" w:ascii="方正小标宋简体" w:hAnsi="方正小标宋简体" w:eastAsia="方正小标宋简体" w:cs="方正小标宋简体"/>
          <w:snapToGrid/>
          <w:kern w:val="2"/>
          <w:sz w:val="44"/>
          <w:szCs w:val="44"/>
          <w:lang w:val="en-US" w:eastAsia="zh-CN"/>
        </w:rPr>
      </w:pPr>
      <w:r>
        <w:drawing>
          <wp:anchor distT="0" distB="0" distL="114300" distR="114300" simplePos="0" relativeHeight="251659264" behindDoc="0" locked="0" layoutInCell="1" allowOverlap="1">
            <wp:simplePos x="0" y="0"/>
            <wp:positionH relativeFrom="column">
              <wp:posOffset>-55880</wp:posOffset>
            </wp:positionH>
            <wp:positionV relativeFrom="paragraph">
              <wp:posOffset>407670</wp:posOffset>
            </wp:positionV>
            <wp:extent cx="5687060" cy="3023235"/>
            <wp:effectExtent l="0" t="0" r="12065" b="889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87060" cy="3023235"/>
                    </a:xfrm>
                    <a:prstGeom prst="rect">
                      <a:avLst/>
                    </a:prstGeom>
                    <a:noFill/>
                    <a:ln>
                      <a:noFill/>
                    </a:ln>
                  </pic:spPr>
                </pic:pic>
              </a:graphicData>
            </a:graphic>
          </wp:anchor>
        </w:drawing>
      </w:r>
    </w:p>
    <w:p w14:paraId="21E41E55">
      <w:pPr>
        <w:rPr>
          <w:rFonts w:hint="eastAsia" w:ascii="方正小标宋简体" w:hAnsi="方正小标宋简体" w:eastAsia="方正小标宋简体" w:cs="方正小标宋简体"/>
          <w:snapToGrid/>
          <w:kern w:val="2"/>
          <w:sz w:val="44"/>
          <w:szCs w:val="44"/>
        </w:rPr>
      </w:pPr>
    </w:p>
    <w:p w14:paraId="34E8258D">
      <w:pPr>
        <w:rPr>
          <w:rFonts w:hint="eastAsia" w:ascii="方正小标宋简体" w:hAnsi="方正小标宋简体" w:eastAsia="方正小标宋简体" w:cs="方正小标宋简体"/>
          <w:snapToGrid/>
          <w:kern w:val="2"/>
          <w:sz w:val="44"/>
          <w:szCs w:val="44"/>
        </w:rPr>
      </w:pPr>
      <w:r>
        <w:drawing>
          <wp:inline distT="0" distB="0" distL="114300" distR="114300">
            <wp:extent cx="5681980" cy="3043555"/>
            <wp:effectExtent l="0" t="0" r="12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81980" cy="3043555"/>
                    </a:xfrm>
                    <a:prstGeom prst="rect">
                      <a:avLst/>
                    </a:prstGeom>
                    <a:noFill/>
                    <a:ln>
                      <a:noFill/>
                    </a:ln>
                  </pic:spPr>
                </pic:pic>
              </a:graphicData>
            </a:graphic>
          </wp:inline>
        </w:drawing>
      </w:r>
    </w:p>
    <w:p w14:paraId="20BC15B2">
      <w:pPr>
        <w:rPr>
          <w:rFonts w:ascii="黑体" w:hAnsi="黑体" w:eastAsia="黑体" w:cs="黑体"/>
          <w:snapToGrid/>
          <w:kern w:val="2"/>
          <w:sz w:val="32"/>
          <w:szCs w:val="32"/>
        </w:rPr>
      </w:pPr>
    </w:p>
    <w:sectPr>
      <w:pgSz w:w="11906" w:h="16838"/>
      <w:pgMar w:top="2098" w:right="1361"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11631C-6AA4-4A54-82A0-169E9A22F17F}"/>
  </w:font>
  <w:font w:name="黑体">
    <w:panose1 w:val="02010609060101010101"/>
    <w:charset w:val="86"/>
    <w:family w:val="auto"/>
    <w:pitch w:val="default"/>
    <w:sig w:usb0="800002BF" w:usb1="38CF7CFA" w:usb2="00000016" w:usb3="00000000" w:csb0="00040001" w:csb1="00000000"/>
    <w:embedRegular r:id="rId2" w:fontKey="{DA3C3C66-D420-4DF2-8065-42C7EDD30A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208BCCFF-DC1B-4CAE-952D-CDDC64A3BDDD}"/>
  </w:font>
  <w:font w:name="仿宋_GB2312">
    <w:panose1 w:val="02010609030101010101"/>
    <w:charset w:val="86"/>
    <w:family w:val="modern"/>
    <w:pitch w:val="default"/>
    <w:sig w:usb0="00000001" w:usb1="080E0000" w:usb2="00000000" w:usb3="00000000" w:csb0="00040000" w:csb1="00000000"/>
    <w:embedRegular r:id="rId4" w:fontKey="{BCA9DA7C-2CF6-4B8B-BCCC-5ED8D241F86A}"/>
  </w:font>
  <w:font w:name="仿宋">
    <w:panose1 w:val="02010609060101010101"/>
    <w:charset w:val="86"/>
    <w:family w:val="modern"/>
    <w:pitch w:val="default"/>
    <w:sig w:usb0="800002BF" w:usb1="38CF7CFA" w:usb2="00000016" w:usb3="00000000" w:csb0="00040001" w:csb1="00000000"/>
    <w:embedRegular r:id="rId5" w:fontKey="{C28F4B48-2D4D-4AE7-AFAE-E203E47DBB5B}"/>
  </w:font>
  <w:font w:name="楷体_GB2312">
    <w:panose1 w:val="02010609030101010101"/>
    <w:charset w:val="86"/>
    <w:family w:val="auto"/>
    <w:pitch w:val="default"/>
    <w:sig w:usb0="00000001" w:usb1="080E0000" w:usb2="00000000" w:usb3="00000000" w:csb0="00040000" w:csb1="00000000"/>
    <w:embedRegular r:id="rId6" w:fontKey="{DFAA2EF9-DD9A-4680-94A7-978288FB343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91D9A"/>
    <w:rsid w:val="004B73DB"/>
    <w:rsid w:val="00645991"/>
    <w:rsid w:val="00B5285A"/>
    <w:rsid w:val="00DD3465"/>
    <w:rsid w:val="00E42F31"/>
    <w:rsid w:val="01967DCC"/>
    <w:rsid w:val="021466F2"/>
    <w:rsid w:val="028916DF"/>
    <w:rsid w:val="041871BE"/>
    <w:rsid w:val="04247911"/>
    <w:rsid w:val="0466617C"/>
    <w:rsid w:val="04763EE5"/>
    <w:rsid w:val="049E0421"/>
    <w:rsid w:val="04F25C61"/>
    <w:rsid w:val="06B91D9A"/>
    <w:rsid w:val="0790350F"/>
    <w:rsid w:val="097F55EA"/>
    <w:rsid w:val="0B167DD2"/>
    <w:rsid w:val="0B633415"/>
    <w:rsid w:val="0BDE6F3F"/>
    <w:rsid w:val="0C236700"/>
    <w:rsid w:val="0CFE523C"/>
    <w:rsid w:val="0D1D400F"/>
    <w:rsid w:val="0E1C78AB"/>
    <w:rsid w:val="0E5E7EC3"/>
    <w:rsid w:val="0FA67D74"/>
    <w:rsid w:val="0FAE09D7"/>
    <w:rsid w:val="0FE60171"/>
    <w:rsid w:val="101E3DAE"/>
    <w:rsid w:val="105477D0"/>
    <w:rsid w:val="10F20D97"/>
    <w:rsid w:val="11140D0D"/>
    <w:rsid w:val="112E1DCF"/>
    <w:rsid w:val="117479FE"/>
    <w:rsid w:val="118539B9"/>
    <w:rsid w:val="11A227BD"/>
    <w:rsid w:val="13394A5B"/>
    <w:rsid w:val="13AC347F"/>
    <w:rsid w:val="143A6CDD"/>
    <w:rsid w:val="14C12F5A"/>
    <w:rsid w:val="15515DBB"/>
    <w:rsid w:val="16352BB0"/>
    <w:rsid w:val="163E5980"/>
    <w:rsid w:val="17DD62FD"/>
    <w:rsid w:val="192F2B88"/>
    <w:rsid w:val="19636CD6"/>
    <w:rsid w:val="1A616FE2"/>
    <w:rsid w:val="1AB92840"/>
    <w:rsid w:val="1B4D379A"/>
    <w:rsid w:val="1C876837"/>
    <w:rsid w:val="1CD03B18"/>
    <w:rsid w:val="1DC67833"/>
    <w:rsid w:val="1E7159F1"/>
    <w:rsid w:val="1ED1308B"/>
    <w:rsid w:val="20270A5D"/>
    <w:rsid w:val="205904EB"/>
    <w:rsid w:val="21717AB6"/>
    <w:rsid w:val="21A244F3"/>
    <w:rsid w:val="21BA300B"/>
    <w:rsid w:val="22F10EAE"/>
    <w:rsid w:val="23867849"/>
    <w:rsid w:val="24704055"/>
    <w:rsid w:val="249D7540"/>
    <w:rsid w:val="24E862E1"/>
    <w:rsid w:val="25E62821"/>
    <w:rsid w:val="26834513"/>
    <w:rsid w:val="26B26BA7"/>
    <w:rsid w:val="2700320B"/>
    <w:rsid w:val="27836464"/>
    <w:rsid w:val="27962024"/>
    <w:rsid w:val="27B34984"/>
    <w:rsid w:val="282D1615"/>
    <w:rsid w:val="28A15125"/>
    <w:rsid w:val="2A17569E"/>
    <w:rsid w:val="2A475858"/>
    <w:rsid w:val="2B74267D"/>
    <w:rsid w:val="2BA07020"/>
    <w:rsid w:val="2BAD1AC2"/>
    <w:rsid w:val="2CA156F3"/>
    <w:rsid w:val="2CBE44F7"/>
    <w:rsid w:val="2CED6B8B"/>
    <w:rsid w:val="2D2D3285"/>
    <w:rsid w:val="2E13617D"/>
    <w:rsid w:val="2E36630F"/>
    <w:rsid w:val="2E5642BC"/>
    <w:rsid w:val="2FFA3A98"/>
    <w:rsid w:val="303B19BB"/>
    <w:rsid w:val="305807BF"/>
    <w:rsid w:val="30696528"/>
    <w:rsid w:val="31BC6B2B"/>
    <w:rsid w:val="31C0661C"/>
    <w:rsid w:val="323A037B"/>
    <w:rsid w:val="33F94067"/>
    <w:rsid w:val="354457B6"/>
    <w:rsid w:val="355E0625"/>
    <w:rsid w:val="3599165E"/>
    <w:rsid w:val="359E4EC6"/>
    <w:rsid w:val="35A41DB0"/>
    <w:rsid w:val="36954C07"/>
    <w:rsid w:val="376E6A0B"/>
    <w:rsid w:val="392F4087"/>
    <w:rsid w:val="394E7395"/>
    <w:rsid w:val="395B4E7C"/>
    <w:rsid w:val="39617CC3"/>
    <w:rsid w:val="396401D4"/>
    <w:rsid w:val="397D1296"/>
    <w:rsid w:val="39C90037"/>
    <w:rsid w:val="3A306308"/>
    <w:rsid w:val="3B9878E7"/>
    <w:rsid w:val="3CC176EC"/>
    <w:rsid w:val="3D714C6E"/>
    <w:rsid w:val="3E3C1720"/>
    <w:rsid w:val="3EF913BF"/>
    <w:rsid w:val="400C0C7E"/>
    <w:rsid w:val="40BE01CA"/>
    <w:rsid w:val="40DC4AF4"/>
    <w:rsid w:val="41650F8E"/>
    <w:rsid w:val="43D47D05"/>
    <w:rsid w:val="43DD12AF"/>
    <w:rsid w:val="448160DE"/>
    <w:rsid w:val="44F00B6E"/>
    <w:rsid w:val="46014AC2"/>
    <w:rsid w:val="461940F5"/>
    <w:rsid w:val="466B2BA2"/>
    <w:rsid w:val="47D66741"/>
    <w:rsid w:val="48282D03"/>
    <w:rsid w:val="49AB59AC"/>
    <w:rsid w:val="49B900C8"/>
    <w:rsid w:val="49DE15B8"/>
    <w:rsid w:val="49FA5FEB"/>
    <w:rsid w:val="4BA56E78"/>
    <w:rsid w:val="4BDF36EB"/>
    <w:rsid w:val="4C2F4672"/>
    <w:rsid w:val="4D497E62"/>
    <w:rsid w:val="4D8B1D7C"/>
    <w:rsid w:val="4DFC4A28"/>
    <w:rsid w:val="4E3B7B85"/>
    <w:rsid w:val="4E5403C0"/>
    <w:rsid w:val="4F3F2E1E"/>
    <w:rsid w:val="50395ABF"/>
    <w:rsid w:val="50FE4613"/>
    <w:rsid w:val="51105F78"/>
    <w:rsid w:val="51DC2BA6"/>
    <w:rsid w:val="520D0FB1"/>
    <w:rsid w:val="527E3C5D"/>
    <w:rsid w:val="52C84ED8"/>
    <w:rsid w:val="53D43DC1"/>
    <w:rsid w:val="54D062C6"/>
    <w:rsid w:val="55EB785C"/>
    <w:rsid w:val="56565708"/>
    <w:rsid w:val="56AB6FEB"/>
    <w:rsid w:val="572A6162"/>
    <w:rsid w:val="58D3173C"/>
    <w:rsid w:val="58F24A5D"/>
    <w:rsid w:val="59D33DF5"/>
    <w:rsid w:val="5A3966BC"/>
    <w:rsid w:val="5B127639"/>
    <w:rsid w:val="5B1F47EF"/>
    <w:rsid w:val="5B3C6463"/>
    <w:rsid w:val="5B5A4B3C"/>
    <w:rsid w:val="5BAA161F"/>
    <w:rsid w:val="5D4E450D"/>
    <w:rsid w:val="5D8F4F70"/>
    <w:rsid w:val="5DA36C6E"/>
    <w:rsid w:val="5E9C4600"/>
    <w:rsid w:val="603311BE"/>
    <w:rsid w:val="612B3202"/>
    <w:rsid w:val="61D770D4"/>
    <w:rsid w:val="62B31701"/>
    <w:rsid w:val="63133F4E"/>
    <w:rsid w:val="64A734EE"/>
    <w:rsid w:val="65493C57"/>
    <w:rsid w:val="655F347A"/>
    <w:rsid w:val="65744A4C"/>
    <w:rsid w:val="659770B8"/>
    <w:rsid w:val="65CC6636"/>
    <w:rsid w:val="667E5B82"/>
    <w:rsid w:val="67ED7463"/>
    <w:rsid w:val="687A4A6F"/>
    <w:rsid w:val="68CF4DBB"/>
    <w:rsid w:val="69F61ED3"/>
    <w:rsid w:val="6BC00D46"/>
    <w:rsid w:val="6C7D68DC"/>
    <w:rsid w:val="6D0843F7"/>
    <w:rsid w:val="6D9B170F"/>
    <w:rsid w:val="6E146DCC"/>
    <w:rsid w:val="6E313E22"/>
    <w:rsid w:val="6E337B9A"/>
    <w:rsid w:val="6E9F0D8B"/>
    <w:rsid w:val="6EC407F2"/>
    <w:rsid w:val="6ED76777"/>
    <w:rsid w:val="6EF410D7"/>
    <w:rsid w:val="6F0155A2"/>
    <w:rsid w:val="6F525DFE"/>
    <w:rsid w:val="6F9560D3"/>
    <w:rsid w:val="704C6CF1"/>
    <w:rsid w:val="72181581"/>
    <w:rsid w:val="72EB27F1"/>
    <w:rsid w:val="73163983"/>
    <w:rsid w:val="732E26DE"/>
    <w:rsid w:val="73974727"/>
    <w:rsid w:val="73E6120B"/>
    <w:rsid w:val="742C1313"/>
    <w:rsid w:val="74822CE1"/>
    <w:rsid w:val="74CA6436"/>
    <w:rsid w:val="74FC0CE6"/>
    <w:rsid w:val="755C0BB7"/>
    <w:rsid w:val="75EE2EE6"/>
    <w:rsid w:val="76BB072D"/>
    <w:rsid w:val="77C43611"/>
    <w:rsid w:val="787176F6"/>
    <w:rsid w:val="78AC2A23"/>
    <w:rsid w:val="796E7CD8"/>
    <w:rsid w:val="7A08012D"/>
    <w:rsid w:val="7A1545F8"/>
    <w:rsid w:val="7A4867BE"/>
    <w:rsid w:val="7A824267"/>
    <w:rsid w:val="7A884DCA"/>
    <w:rsid w:val="7A97500D"/>
    <w:rsid w:val="7AF64429"/>
    <w:rsid w:val="7B4C4049"/>
    <w:rsid w:val="7B580C40"/>
    <w:rsid w:val="7BAD2537"/>
    <w:rsid w:val="7C605FFE"/>
    <w:rsid w:val="7CF77FE5"/>
    <w:rsid w:val="7DB12889"/>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pPr>
    <w:rPr>
      <w:rFonts w:cs="Times New Roman"/>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8</Pages>
  <Words>2331</Words>
  <Characters>2469</Characters>
  <Lines>8</Lines>
  <Paragraphs>2</Paragraphs>
  <TotalTime>97</TotalTime>
  <ScaleCrop>false</ScaleCrop>
  <LinksUpToDate>false</LinksUpToDate>
  <CharactersWithSpaces>2515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2025-04-07T09:08:00Z</dcterms:created>
  <dc:creator>dycdc</dc:creator>
  <cp:lastModifiedBy>廖露鸣</cp:lastModifiedBy>
  <dcterms:modified xsi:type="dcterms:W3CDTF">2026-03-31T07:04:43Z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8BE027E7541B48C2B8541466A698DFC9_13</vt:lpwstr>
  </property>
  <property fmtid="{D5CDD505-2E9C-101B-9397-08002B2CF9AE}" pid="4" name="KSOTemplateDocerSaveRecord">
    <vt:lpwstr>eyJoZGlkIjoiYTYyN2E4NTM3OGVkNWIwMDM1ZTM4N2JmZDE1ZjI4NmUiLCJ1c2VySWQiOiIxNjU2ODQxNTc5In0=</vt:lpwstr>
  </property>
</Properties>
</file>