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D0C01">
      <w:pP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附件1：</w:t>
      </w:r>
    </w:p>
    <w:p w14:paraId="50AC52EB">
      <w:pPr>
        <w:jc w:val="center"/>
        <w:rPr>
          <w:rFonts w:hint="eastAsia" w:ascii="宋体" w:hAnsi="宋体"/>
          <w:b/>
          <w:sz w:val="52"/>
          <w:szCs w:val="44"/>
        </w:rPr>
      </w:pPr>
    </w:p>
    <w:p w14:paraId="773E5572">
      <w:pPr>
        <w:tabs>
          <w:tab w:val="left" w:pos="1575"/>
          <w:tab w:val="center" w:pos="4153"/>
        </w:tabs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ascii="方正小标宋简体" w:hAnsi="宋体" w:eastAsia="方正小标宋简体"/>
          <w:sz w:val="44"/>
          <w:szCs w:val="44"/>
        </w:rPr>
        <w:tab/>
      </w:r>
      <w:r>
        <w:rPr>
          <w:rFonts w:hint="eastAsia" w:ascii="方正小标宋简体" w:hAnsi="宋体" w:eastAsia="方正小标宋简体"/>
          <w:sz w:val="44"/>
          <w:szCs w:val="44"/>
        </w:rPr>
        <w:t>德阳市疾病预防控制中心</w:t>
      </w:r>
    </w:p>
    <w:p w14:paraId="18B59866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办公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培训桌椅</w:t>
      </w:r>
      <w:r>
        <w:rPr>
          <w:rFonts w:hint="eastAsia" w:ascii="方正小标宋简体" w:hAnsi="宋体" w:eastAsia="方正小标宋简体"/>
          <w:sz w:val="44"/>
          <w:szCs w:val="44"/>
        </w:rPr>
        <w:t>采购报价材料</w:t>
      </w:r>
    </w:p>
    <w:p w14:paraId="5BC02D69">
      <w:pPr>
        <w:jc w:val="center"/>
        <w:rPr>
          <w:rFonts w:hint="eastAsia" w:ascii="宋体" w:hAnsi="宋体"/>
          <w:b/>
          <w:sz w:val="44"/>
          <w:szCs w:val="44"/>
        </w:rPr>
      </w:pPr>
    </w:p>
    <w:p w14:paraId="22112301">
      <w:pPr>
        <w:jc w:val="center"/>
        <w:rPr>
          <w:rFonts w:hint="eastAsia" w:ascii="宋体" w:hAnsi="宋体"/>
          <w:b/>
          <w:sz w:val="44"/>
          <w:szCs w:val="44"/>
        </w:rPr>
      </w:pPr>
    </w:p>
    <w:p w14:paraId="1C039F8C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B344F64">
      <w:pPr>
        <w:rPr>
          <w:rFonts w:hint="eastAsia" w:ascii="宋体" w:hAnsi="宋体"/>
          <w:b/>
          <w:sz w:val="44"/>
          <w:szCs w:val="44"/>
        </w:rPr>
      </w:pPr>
    </w:p>
    <w:p w14:paraId="72EA4029">
      <w:pPr>
        <w:rPr>
          <w:rFonts w:hint="eastAsia" w:ascii="宋体" w:hAnsi="宋体"/>
          <w:b/>
          <w:sz w:val="44"/>
          <w:szCs w:val="44"/>
        </w:rPr>
      </w:pPr>
    </w:p>
    <w:p w14:paraId="11C7280D">
      <w:pPr>
        <w:ind w:left="-420" w:leftChars="-200" w:right="-92" w:rightChars="-44" w:firstLine="418" w:firstLineChars="95"/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供应商名称（盖章）：</w:t>
      </w:r>
    </w:p>
    <w:p w14:paraId="1B4436A3">
      <w:pPr>
        <w:rPr>
          <w:rFonts w:hint="eastAsia" w:ascii="仿宋_GB2312" w:hAnsi="宋体" w:eastAsia="仿宋_GB2312"/>
          <w:sz w:val="44"/>
          <w:szCs w:val="44"/>
        </w:rPr>
      </w:pPr>
    </w:p>
    <w:p w14:paraId="0B4B0D4C">
      <w:pPr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联系人：</w:t>
      </w:r>
    </w:p>
    <w:p w14:paraId="4B8C751C">
      <w:pPr>
        <w:rPr>
          <w:rFonts w:hint="eastAsia" w:ascii="仿宋_GB2312" w:hAnsi="宋体" w:eastAsia="仿宋_GB2312"/>
          <w:sz w:val="44"/>
          <w:szCs w:val="44"/>
        </w:rPr>
      </w:pPr>
    </w:p>
    <w:p w14:paraId="60272C98">
      <w:pPr>
        <w:rPr>
          <w:rFonts w:hint="eastAsia" w:ascii="仿宋_GB2312" w:hAnsi="宋体" w:eastAsia="仿宋_GB2312"/>
          <w:sz w:val="44"/>
          <w:szCs w:val="44"/>
        </w:rPr>
      </w:pPr>
      <w:r>
        <w:rPr>
          <w:rFonts w:hint="eastAsia" w:ascii="仿宋_GB2312" w:hAnsi="宋体" w:eastAsia="仿宋_GB2312"/>
          <w:sz w:val="44"/>
          <w:szCs w:val="44"/>
        </w:rPr>
        <w:t>联系电话：</w:t>
      </w:r>
    </w:p>
    <w:p w14:paraId="523B0F63"/>
    <w:p w14:paraId="29560A6A">
      <w:pPr>
        <w:widowControl/>
        <w:spacing w:before="150" w:after="150" w:line="240" w:lineRule="atLeast"/>
        <w:ind w:left="2520" w:leftChars="1200" w:right="640" w:firstLine="2400" w:firstLineChars="7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1BF7CE4B">
      <w:pPr>
        <w:widowControl/>
        <w:spacing w:before="150" w:after="150" w:line="240" w:lineRule="atLeast"/>
        <w:ind w:left="2520" w:leftChars="1200" w:right="640" w:firstLine="2400" w:firstLineChars="7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60B8DC8">
      <w:pPr>
        <w:widowControl/>
        <w:shd w:val="clear" w:color="auto" w:fill="FFFFFF"/>
        <w:spacing w:after="75"/>
        <w:jc w:val="left"/>
        <w:rPr>
          <w:rFonts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kern w:val="0"/>
          <w:sz w:val="32"/>
          <w:szCs w:val="32"/>
        </w:rPr>
        <w:t>附件2</w:t>
      </w:r>
    </w:p>
    <w:p w14:paraId="04B0723A">
      <w:pPr>
        <w:widowControl/>
        <w:shd w:val="clear" w:color="auto" w:fill="FFFFFF"/>
        <w:spacing w:after="75"/>
        <w:jc w:val="center"/>
        <w:rPr>
          <w:rFonts w:hint="eastAsia" w:ascii="宋体" w:hAnsi="宋体" w:cs="Tahoma"/>
          <w:kern w:val="0"/>
          <w:sz w:val="32"/>
          <w:szCs w:val="32"/>
        </w:rPr>
      </w:pPr>
      <w:r>
        <w:rPr>
          <w:rFonts w:hint="eastAsia" w:ascii="方正小标宋简体" w:hAnsi="Tahoma" w:eastAsia="方正小标宋简体" w:cs="Tahoma"/>
          <w:kern w:val="0"/>
          <w:sz w:val="32"/>
          <w:szCs w:val="32"/>
        </w:rPr>
        <w:t>德阳市疾病预防控制中心办公</w:t>
      </w:r>
      <w:r>
        <w:rPr>
          <w:rFonts w:hint="eastAsia" w:ascii="方正小标宋简体" w:hAnsi="Tahoma" w:eastAsia="方正小标宋简体" w:cs="Tahoma"/>
          <w:kern w:val="0"/>
          <w:sz w:val="32"/>
          <w:szCs w:val="32"/>
          <w:lang w:eastAsia="zh-CN"/>
        </w:rPr>
        <w:t>、</w:t>
      </w:r>
      <w:r>
        <w:rPr>
          <w:rFonts w:hint="eastAsia" w:ascii="方正小标宋简体" w:hAnsi="Tahoma" w:eastAsia="方正小标宋简体" w:cs="Tahoma"/>
          <w:kern w:val="0"/>
          <w:sz w:val="32"/>
          <w:szCs w:val="32"/>
          <w:lang w:val="en-US" w:eastAsia="zh-CN"/>
        </w:rPr>
        <w:t>培训桌椅</w:t>
      </w:r>
      <w:r>
        <w:rPr>
          <w:rFonts w:hint="eastAsia" w:ascii="方正小标宋简体" w:hAnsi="Tahoma" w:eastAsia="方正小标宋简体" w:cs="Tahoma"/>
          <w:kern w:val="0"/>
          <w:sz w:val="32"/>
          <w:szCs w:val="32"/>
        </w:rPr>
        <w:t>采购比选报价一览表</w:t>
      </w:r>
    </w:p>
    <w:tbl>
      <w:tblPr>
        <w:tblStyle w:val="6"/>
        <w:tblW w:w="1549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2977"/>
        <w:gridCol w:w="1559"/>
        <w:gridCol w:w="6124"/>
        <w:gridCol w:w="708"/>
        <w:gridCol w:w="709"/>
        <w:gridCol w:w="12"/>
        <w:gridCol w:w="839"/>
        <w:gridCol w:w="12"/>
        <w:gridCol w:w="839"/>
        <w:gridCol w:w="12"/>
      </w:tblGrid>
      <w:tr w14:paraId="0F64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567" w:type="dxa"/>
            <w:shd w:val="clear" w:color="000000" w:fill="FFFFFF"/>
            <w:noWrap/>
            <w:vAlign w:val="center"/>
          </w:tcPr>
          <w:p w14:paraId="46C32CFC">
            <w:pPr>
              <w:widowControl/>
              <w:spacing w:line="240" w:lineRule="exact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43D73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产品名称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96F718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图片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0523491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规格</w:t>
            </w:r>
          </w:p>
        </w:tc>
        <w:tc>
          <w:tcPr>
            <w:tcW w:w="6124" w:type="dxa"/>
            <w:shd w:val="clear" w:color="000000" w:fill="FFFFFF"/>
            <w:vAlign w:val="center"/>
          </w:tcPr>
          <w:p w14:paraId="7585D0F9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技术参数要求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513137A8">
            <w:pPr>
              <w:widowControl/>
              <w:spacing w:line="240" w:lineRule="exact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单位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182771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数量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0A17990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单价</w:t>
            </w:r>
          </w:p>
        </w:tc>
        <w:tc>
          <w:tcPr>
            <w:tcW w:w="851" w:type="dxa"/>
            <w:gridSpan w:val="2"/>
            <w:shd w:val="clear" w:color="000000" w:fill="FFFFFF"/>
            <w:vAlign w:val="center"/>
          </w:tcPr>
          <w:p w14:paraId="2C1BDFA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总价</w:t>
            </w:r>
          </w:p>
        </w:tc>
      </w:tr>
      <w:tr w14:paraId="4DAB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455" w:hRule="atLeast"/>
        </w:trPr>
        <w:tc>
          <w:tcPr>
            <w:tcW w:w="567" w:type="dxa"/>
            <w:shd w:val="clear" w:color="000000" w:fill="FFFFFF"/>
            <w:noWrap/>
            <w:vAlign w:val="center"/>
          </w:tcPr>
          <w:p w14:paraId="6D7058B1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F99AAE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办公桌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325D3B9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-972820</wp:posOffset>
                  </wp:positionV>
                  <wp:extent cx="2256790" cy="2063115"/>
                  <wp:effectExtent l="0" t="0" r="10160" b="13335"/>
                  <wp:wrapSquare wrapText="bothSides"/>
                  <wp:docPr id="2874" name="图片 1" descr="d47947585af12565eaaa4febcc154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4" name="图片 1" descr="d47947585af12565eaaa4febcc15409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2063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6823CBB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1600*800*760</w:t>
            </w:r>
          </w:p>
        </w:tc>
        <w:tc>
          <w:tcPr>
            <w:tcW w:w="6124" w:type="dxa"/>
            <w:shd w:val="clear" w:color="000000" w:fill="FFFFFF"/>
            <w:vAlign w:val="center"/>
          </w:tcPr>
          <w:p w14:paraId="106437FB">
            <w:pPr>
              <w:widowControl/>
              <w:numPr>
                <w:ilvl w:val="0"/>
                <w:numId w:val="1"/>
              </w:numPr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基材：采用E1级中密度纤维板，经防潮、防虫、防腐处理，强度高不变形，达到国际握钉测试标准；优质绿色环保产品，吸水厚度膨胀率≤6%，含水率≤7%；甲醛含量≤6mg/100g； </w:t>
            </w:r>
          </w:p>
          <w:p w14:paraId="29E5839E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2、贴面：采用0.8mm厚胡桃木皮贴面；优质天然“AAA”级≧0.8mm木皮，甲醛含量≤0.1mg/L，纹理自然； 采用同色优质封边，背胶处理应均匀、边缘应光滑平直无缺损，符合检查标准；</w:t>
            </w:r>
          </w:p>
          <w:p w14:paraId="08EB565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3、油漆：采用优质环保油性油漆（涂料），油性油漆（涂料）符合GB 18581-2009及GB/T 23997-2009执行标准；</w:t>
            </w:r>
          </w:p>
          <w:p w14:paraId="5FE5082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4、配件：优质五金配件拼接，间隙细小且均匀；采用优质缓冲三节滑轨、液压缓冲铰链等五金件。</w:t>
            </w:r>
          </w:p>
          <w:p w14:paraId="6466D79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u w:val="single"/>
              </w:rPr>
              <w:t>5、投标人或制造厂家提供带CMA标志的检验检测报告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352693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43A13F7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3A15893B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466BDB2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691B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41" w:hRule="atLeast"/>
        </w:trPr>
        <w:tc>
          <w:tcPr>
            <w:tcW w:w="567" w:type="dxa"/>
            <w:shd w:val="clear" w:color="000000" w:fill="FFFFFF"/>
            <w:noWrap/>
            <w:vAlign w:val="center"/>
          </w:tcPr>
          <w:p w14:paraId="61C6E1E5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F1C0BC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办公桌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83AD990">
            <w:pPr>
              <w:widowControl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1751965" cy="1542415"/>
                  <wp:effectExtent l="0" t="0" r="635" b="635"/>
                  <wp:docPr id="5" name="图片 5" descr="微信图片_20260319111814_163_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60319111814_163_3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7D1E64DF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1400*700*760</w:t>
            </w:r>
          </w:p>
        </w:tc>
        <w:tc>
          <w:tcPr>
            <w:tcW w:w="6124" w:type="dxa"/>
            <w:shd w:val="clear" w:color="000000" w:fill="FFFFFF"/>
            <w:vAlign w:val="center"/>
          </w:tcPr>
          <w:p w14:paraId="5B13092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1、基材：采用E1级中密度纤维板，经防潮、防虫、防腐处理，强度高不变形，达到国际握钉测试标准；优质绿色环保产品，吸水厚度膨胀率≤6%，含水率≤7%；甲醛含量≤6mg/100g； </w:t>
            </w:r>
          </w:p>
          <w:p w14:paraId="6F958DA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2、贴面：采用0.8mm厚胡桃木皮贴面；优质天然“AAA”级≧0.8mm木皮，甲醛含量≤0.1mg/L，纹理自然； 采用同色优质封边，背胶处理应均匀、边缘应光滑平直无缺损，符合检查标准；</w:t>
            </w:r>
          </w:p>
          <w:p w14:paraId="1A0B9380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3、油漆：采用优质环保油性油漆（涂料），油性油漆（涂料）符合GB 18581-2009及GB/T 23997-2009执行标准；</w:t>
            </w:r>
          </w:p>
          <w:p w14:paraId="1B3A1778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4、配件：优质五金配件拼接，间隙细小且均匀；采用优质缓冲三节滑轨、液压缓冲铰链等五金件。</w:t>
            </w:r>
          </w:p>
          <w:p w14:paraId="0000D064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5、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u w:val="single"/>
              </w:rPr>
              <w:t>投标人或制造厂家提供带CMA标志的检验检测报告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0AC48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0D6C5732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6A2EBFC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37F0F6D3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77CA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345" w:hRule="atLeast"/>
        </w:trPr>
        <w:tc>
          <w:tcPr>
            <w:tcW w:w="567" w:type="dxa"/>
            <w:shd w:val="clear" w:color="000000" w:fill="FFFFFF"/>
            <w:noWrap/>
            <w:vAlign w:val="center"/>
          </w:tcPr>
          <w:p w14:paraId="2C0A25A5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E221B3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椅子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47B559B1">
            <w:pPr>
              <w:widowControl/>
              <w:spacing w:line="480" w:lineRule="exact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 w:cs="宋体"/>
                <w:kern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184150</wp:posOffset>
                  </wp:positionV>
                  <wp:extent cx="1524000" cy="167640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2919F64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900*470*470</w:t>
            </w:r>
          </w:p>
        </w:tc>
        <w:tc>
          <w:tcPr>
            <w:tcW w:w="6124" w:type="dxa"/>
            <w:shd w:val="clear" w:color="000000" w:fill="FFFFFF"/>
            <w:vAlign w:val="center"/>
          </w:tcPr>
          <w:p w14:paraId="56962513">
            <w:pPr>
              <w:widowControl/>
              <w:numPr>
                <w:ilvl w:val="0"/>
                <w:numId w:val="2"/>
              </w:numPr>
              <w:spacing w:line="480" w:lineRule="exact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表层：采用优质韩皮覆面，厚度1.3-1.5mm，皮面柔软光泽度好，厚度适中，透气性强，富有弹性。                                                                     2、海棉：采用优质50#海棉，座面密度≥35KG/m3，背密度≥30KG/m3，回弹性90%，涂防老化变形保护膜。弹性好，承受压力达250kg。  </w:t>
            </w:r>
          </w:p>
          <w:p w14:paraId="37D25B2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3、外架：采用优质实木框架，承受压力达200kg ，无虫蚀、腐朽材，木材经四面刨光处理，结合部位无松动，框架主体榫结构，内部衬垫物干燥卫生，无腐烂变质、无夹杂泥沙及金属杂物；</w:t>
            </w:r>
          </w:p>
          <w:p w14:paraId="6C495F06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4、结构：靠背可躺。</w:t>
            </w:r>
          </w:p>
          <w:p w14:paraId="5900819B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5、水性油漆：挥发性有机化合物（voc）含量≤40g/L,苯、甲苯、二甲苯、乙苯含量总和≤50mg/kg，可溶性铅含量≤1mg/kg，可溶性汞含量≤0.01mg/kg。</w:t>
            </w:r>
          </w:p>
          <w:p w14:paraId="47E292FF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bidi="ar"/>
              </w:rPr>
              <w:t>6、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u w:val="single"/>
              </w:rPr>
              <w:t>投标人或制造厂家提供带CMA标志的检验检测报告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2CAED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把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72058084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11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4ABD28AC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2A99C8E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6A78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460" w:hRule="atLeast"/>
        </w:trPr>
        <w:tc>
          <w:tcPr>
            <w:tcW w:w="567" w:type="dxa"/>
            <w:shd w:val="clear" w:color="000000" w:fill="FFFFFF"/>
            <w:noWrap/>
            <w:vAlign w:val="center"/>
          </w:tcPr>
          <w:p w14:paraId="791A82AD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AC84E2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培训桌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14:paraId="65529D97"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drawing>
                <wp:inline distT="0" distB="0" distL="114300" distR="114300">
                  <wp:extent cx="1750695" cy="1363980"/>
                  <wp:effectExtent l="0" t="0" r="190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65B368D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1400*700*760</w:t>
            </w:r>
          </w:p>
        </w:tc>
        <w:tc>
          <w:tcPr>
            <w:tcW w:w="6124" w:type="dxa"/>
            <w:shd w:val="clear" w:color="000000" w:fill="FFFFFF"/>
            <w:vAlign w:val="center"/>
          </w:tcPr>
          <w:p w14:paraId="438B19B2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1.基材：采用三聚氰氨板：表面胶合强度≥0.8MPa，表面耐香烟灼烧≥6级，表面耐干热≥6级.符合GB/T4897-2015及GB/T39600-2021标准要求，</w:t>
            </w:r>
          </w:p>
          <w:p w14:paraId="3B75A5D5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2.封边条：符合QB/T 4463-2013《家具用封边条技术要求》的标准，其中，氯乙烯单体≤1.0mg/kg，理化性能-耐干热性无龟裂、无鼓泡；理化性能-耐磨性磨30r后无露底现象；理化性能-耐冷热循环性无龟裂、无鼓泡、无变色、无起皱；理化性能-耐光色牢度（灰色样卡）≥4级；</w:t>
            </w:r>
          </w:p>
          <w:p w14:paraId="3C2DE40D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3.封边胶:符合HG/T 2727-2010《聚乙酸乙烯酷乳液木材胶粘剂》的标准，pH值3～7，不挥发物≥36%，压缩剪切强度中湿强度≥4MPa、干强度≥12MPa；游离甲苯二异氰酸酯≤0.001g/kg，苯、甲苯、乙苯+二甲苯未检出，总挥发性有机物≤10g/L；</w:t>
            </w:r>
          </w:p>
          <w:p w14:paraId="291EFD31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4.三合一连接件：中性盐雾试验连续喷雾≥72h，镀（涂）层对基体保护等级≥10级，耐腐蚀等级≥10级，乙酸盐雾试验连续喷雾≥72h，镀（涂）层对基体保护等级≥10级，耐腐蚀等级≥10级；玩具材料中可迁移元素中锑≤10mg/kg、砷≤12mg/kg、镉≤23mg/kg、铬≤16mg/kg、铅≤35mg/kg、汞≤21mg/kg、硒≤45mg/kg、钡≤65mg/kg；</w:t>
            </w:r>
          </w:p>
          <w:p w14:paraId="7493855A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5.缓冲铰链：检测依据为QB/T 2189-2013《家具五金 杯状暗较链》，检测内容包括中性盐雾试验连续喷雾≥130h，镀（涂）层对基体保护等级≥10级，镀（涂）层本身耐腐蚀等级≥10级；耐久性≥40000次； </w:t>
            </w:r>
          </w:p>
          <w:p w14:paraId="1D9BBDE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u w:val="single"/>
              </w:rPr>
              <w:t>6、投标人或制造厂家提供带CMA标志的检验检测报告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14:paraId="7C27141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14:paraId="2765EFE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10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177F1F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7B366E8A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</w:tc>
      </w:tr>
      <w:tr w14:paraId="5849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3790" w:type="dxa"/>
            <w:gridSpan w:val="8"/>
            <w:shd w:val="clear" w:color="000000" w:fill="FFFFFF"/>
            <w:noWrap/>
            <w:vAlign w:val="center"/>
          </w:tcPr>
          <w:p w14:paraId="6CE1C252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备注：</w:t>
            </w:r>
          </w:p>
          <w:p w14:paraId="5DDA2658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商务要求：</w:t>
            </w:r>
          </w:p>
          <w:p w14:paraId="63C6DD41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（一）合同签订后10日内交货并安装完毕。</w:t>
            </w:r>
          </w:p>
          <w:p w14:paraId="1D53A22A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（</w:t>
            </w:r>
            <w:r>
              <w:rPr>
                <w:rFonts w:hint="eastAsia" w:hAnsi="宋体"/>
              </w:rPr>
              <w:t>二</w:t>
            </w:r>
            <w:r>
              <w:rPr>
                <w:rFonts w:hAnsi="宋体"/>
              </w:rPr>
              <w:t>）质量要求:等于或者高于参数表中的质量和环保要求。</w:t>
            </w:r>
          </w:p>
          <w:p w14:paraId="167EDBB1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（</w:t>
            </w:r>
            <w:r>
              <w:rPr>
                <w:rFonts w:hint="eastAsia" w:hAnsi="宋体"/>
              </w:rPr>
              <w:t>三</w:t>
            </w:r>
            <w:r>
              <w:rPr>
                <w:rFonts w:hAnsi="宋体"/>
              </w:rPr>
              <w:t>）供应商所提供的设备价格是包干价，包括运费、安装费、税费、售后服务费等一切与本项目相关的费用。</w:t>
            </w:r>
          </w:p>
          <w:p w14:paraId="690C1E91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（</w:t>
            </w:r>
            <w:r>
              <w:rPr>
                <w:rFonts w:hint="eastAsia" w:hAnsi="宋体"/>
              </w:rPr>
              <w:t>四</w:t>
            </w:r>
            <w:r>
              <w:rPr>
                <w:rFonts w:hAnsi="宋体"/>
              </w:rPr>
              <w:t>）付款方式：合同约定。</w:t>
            </w:r>
          </w:p>
          <w:p w14:paraId="125FB458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int="eastAsia" w:hAnsi="宋体"/>
              </w:rPr>
              <w:t>（五）</w:t>
            </w:r>
            <w:r>
              <w:rPr>
                <w:rFonts w:hAnsi="宋体"/>
              </w:rPr>
              <w:t>中标供应商</w:t>
            </w:r>
            <w:r>
              <w:rPr>
                <w:rFonts w:hint="eastAsia" w:hAnsi="宋体"/>
              </w:rPr>
              <w:t>在</w:t>
            </w:r>
            <w:r>
              <w:rPr>
                <w:rFonts w:hAnsi="宋体"/>
              </w:rPr>
              <w:t>签订合同前提供参数表中带二维码的基材及成品的检测报告，保证产品的环保性。</w:t>
            </w:r>
          </w:p>
          <w:p w14:paraId="6F4F0119">
            <w:pPr>
              <w:pStyle w:val="9"/>
              <w:spacing w:line="400" w:lineRule="exact"/>
              <w:rPr>
                <w:rFonts w:hint="eastAsia" w:hAnsi="宋体"/>
              </w:rPr>
            </w:pPr>
            <w:r>
              <w:rPr>
                <w:rFonts w:hAnsi="宋体"/>
              </w:rPr>
              <w:t>   以上材料在签订合同前查原件，留复印件并盖鲜章存档，少提供者和技术参数有负偏离的视为无效供应商，取消中标资格，不提供者视为虚假响应列入不良供应商。</w:t>
            </w:r>
          </w:p>
        </w:tc>
        <w:tc>
          <w:tcPr>
            <w:tcW w:w="851" w:type="dxa"/>
            <w:gridSpan w:val="2"/>
            <w:shd w:val="clear" w:color="000000" w:fill="FFFFFF"/>
          </w:tcPr>
          <w:p w14:paraId="7E982AF1">
            <w:pPr>
              <w:pStyle w:val="9"/>
              <w:spacing w:line="400" w:lineRule="exact"/>
              <w:rPr>
                <w:rFonts w:hint="eastAsia" w:hAnsi="宋体"/>
              </w:rPr>
            </w:pPr>
          </w:p>
        </w:tc>
        <w:tc>
          <w:tcPr>
            <w:tcW w:w="851" w:type="dxa"/>
            <w:gridSpan w:val="2"/>
            <w:shd w:val="clear" w:color="000000" w:fill="FFFFFF"/>
          </w:tcPr>
          <w:p w14:paraId="42F39E9A">
            <w:pPr>
              <w:pStyle w:val="9"/>
              <w:spacing w:line="400" w:lineRule="exact"/>
              <w:rPr>
                <w:rFonts w:hint="eastAsia" w:hAnsi="宋体"/>
              </w:rPr>
            </w:pPr>
          </w:p>
        </w:tc>
      </w:tr>
    </w:tbl>
    <w:p w14:paraId="54C64757">
      <w:pPr>
        <w:widowControl/>
        <w:spacing w:before="150" w:after="150" w:line="240" w:lineRule="atLeast"/>
        <w:ind w:right="64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A0CCA81-85CE-484A-8F18-483147F4BF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C4D4E39-6F2F-4B12-831D-C8EA1B0835A4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6FA9645D-4F31-438B-9A9A-4CEDBB796D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A813D"/>
    <w:multiLevelType w:val="singleLevel"/>
    <w:tmpl w:val="8A1A813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31B5D2A"/>
    <w:multiLevelType w:val="singleLevel"/>
    <w:tmpl w:val="D31B5D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BC"/>
    <w:rsid w:val="00142C52"/>
    <w:rsid w:val="001F5407"/>
    <w:rsid w:val="002358B1"/>
    <w:rsid w:val="00246651"/>
    <w:rsid w:val="002C6332"/>
    <w:rsid w:val="002E3BA7"/>
    <w:rsid w:val="003715B1"/>
    <w:rsid w:val="00411B31"/>
    <w:rsid w:val="00456B90"/>
    <w:rsid w:val="005001C1"/>
    <w:rsid w:val="00535C18"/>
    <w:rsid w:val="005C09E4"/>
    <w:rsid w:val="0060744C"/>
    <w:rsid w:val="006A7911"/>
    <w:rsid w:val="007322A7"/>
    <w:rsid w:val="007C41DF"/>
    <w:rsid w:val="007E21E8"/>
    <w:rsid w:val="00874D49"/>
    <w:rsid w:val="008B45A4"/>
    <w:rsid w:val="008E0B26"/>
    <w:rsid w:val="00A17500"/>
    <w:rsid w:val="00AF08BC"/>
    <w:rsid w:val="00B44780"/>
    <w:rsid w:val="00B648B4"/>
    <w:rsid w:val="00B83509"/>
    <w:rsid w:val="00BB0C84"/>
    <w:rsid w:val="00BD0099"/>
    <w:rsid w:val="00C0709F"/>
    <w:rsid w:val="00C57B80"/>
    <w:rsid w:val="00D23B31"/>
    <w:rsid w:val="00D24FE6"/>
    <w:rsid w:val="00D33E7A"/>
    <w:rsid w:val="00D34C05"/>
    <w:rsid w:val="00D7297C"/>
    <w:rsid w:val="00F1477D"/>
    <w:rsid w:val="00FC3290"/>
    <w:rsid w:val="00FD3520"/>
    <w:rsid w:val="03360DF1"/>
    <w:rsid w:val="040E6C71"/>
    <w:rsid w:val="04314AB0"/>
    <w:rsid w:val="048B3A38"/>
    <w:rsid w:val="064417AA"/>
    <w:rsid w:val="08367CC1"/>
    <w:rsid w:val="08752E31"/>
    <w:rsid w:val="097E28B7"/>
    <w:rsid w:val="0CAF7ADB"/>
    <w:rsid w:val="0D7A4A46"/>
    <w:rsid w:val="0E8F35FC"/>
    <w:rsid w:val="13FF5CA5"/>
    <w:rsid w:val="178C2E58"/>
    <w:rsid w:val="183037B1"/>
    <w:rsid w:val="184C6DA2"/>
    <w:rsid w:val="1B09565B"/>
    <w:rsid w:val="1B903686"/>
    <w:rsid w:val="21E5472C"/>
    <w:rsid w:val="24885842"/>
    <w:rsid w:val="252217F3"/>
    <w:rsid w:val="25B83F05"/>
    <w:rsid w:val="2787146C"/>
    <w:rsid w:val="27962024"/>
    <w:rsid w:val="27CE7C21"/>
    <w:rsid w:val="283F090E"/>
    <w:rsid w:val="28E84B02"/>
    <w:rsid w:val="2A9C2048"/>
    <w:rsid w:val="2BBB02AC"/>
    <w:rsid w:val="2EA119DB"/>
    <w:rsid w:val="307136E6"/>
    <w:rsid w:val="310E70CF"/>
    <w:rsid w:val="33CF6FEA"/>
    <w:rsid w:val="347436ED"/>
    <w:rsid w:val="34A43FD3"/>
    <w:rsid w:val="366C6D72"/>
    <w:rsid w:val="3730204C"/>
    <w:rsid w:val="38E16409"/>
    <w:rsid w:val="39F00EF1"/>
    <w:rsid w:val="3A2D6818"/>
    <w:rsid w:val="3BBE428D"/>
    <w:rsid w:val="3DA41B1B"/>
    <w:rsid w:val="3E36248B"/>
    <w:rsid w:val="3F2D1834"/>
    <w:rsid w:val="3FF027C2"/>
    <w:rsid w:val="41467AC2"/>
    <w:rsid w:val="41E719A3"/>
    <w:rsid w:val="43482915"/>
    <w:rsid w:val="43C31F9B"/>
    <w:rsid w:val="44D22496"/>
    <w:rsid w:val="485458B8"/>
    <w:rsid w:val="4913307D"/>
    <w:rsid w:val="493F304B"/>
    <w:rsid w:val="49851138"/>
    <w:rsid w:val="4A836081"/>
    <w:rsid w:val="4B7C4E93"/>
    <w:rsid w:val="4C6A56AA"/>
    <w:rsid w:val="4D4E4C09"/>
    <w:rsid w:val="50FE1815"/>
    <w:rsid w:val="52AD38A6"/>
    <w:rsid w:val="538C5F06"/>
    <w:rsid w:val="53B37216"/>
    <w:rsid w:val="57AA647A"/>
    <w:rsid w:val="58482370"/>
    <w:rsid w:val="5AB126F6"/>
    <w:rsid w:val="616D42F3"/>
    <w:rsid w:val="61A44D62"/>
    <w:rsid w:val="61D07906"/>
    <w:rsid w:val="6DBE71AC"/>
    <w:rsid w:val="72273572"/>
    <w:rsid w:val="753C7334"/>
    <w:rsid w:val="765820DB"/>
    <w:rsid w:val="76612DCA"/>
    <w:rsid w:val="77AE3DED"/>
    <w:rsid w:val="792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7"/>
    <w:link w:val="5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../../FZ02/AppData/Roaming/Tencent/Users/162015886/QQ/WinTemp/RichOle/_(%252525252525255d%2525252525252525DRL0_D~ZRP7%252525252525257b$6_X(MG.png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6</Pages>
  <Words>2503</Words>
  <Characters>2918</Characters>
  <Lines>20</Lines>
  <Paragraphs>5</Paragraphs>
  <TotalTime>7</TotalTime>
  <ScaleCrop>false</ScaleCrop>
  <LinksUpToDate>false</LinksUpToDate>
  <CharactersWithSpaces>3072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2019-03-06T01:40:00Z</dcterms:created>
  <dc:creator>Windows User</dc:creator>
  <cp:lastModifiedBy>廖露鸣</cp:lastModifiedBy>
  <cp:lastPrinted>2026-03-23T01:47:00Z</cp:lastPrinted>
  <dcterms:modified xsi:type="dcterms:W3CDTF">2026-03-23T03:19:15Z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C84B10C862224CF6A9715A330F519A84</vt:lpwstr>
  </property>
  <property fmtid="{D5CDD505-2E9C-101B-9397-08002B2CF9AE}" pid="4" name="KSOTemplateDocerSaveRecord">
    <vt:lpwstr>eyJoZGlkIjoiYTYyN2E4NTM3OGVkNWIwMDM1ZTM4N2JmZDE1ZjI4NmUiLCJ1c2VySWQiOiIxNjU2ODQxNTc5In0=</vt:lpwstr>
  </property>
</Properties>
</file>