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366753">
      <w:pPr>
        <w:spacing w:line="594" w:lineRule="exact"/>
        <w:rPr>
          <w:rFonts w:ascii="仿宋_GB2312" w:hAnsi="仿宋_GB2312" w:eastAsia="仿宋_GB2312" w:cs="仿宋_GB2312"/>
          <w:snapToGrid/>
          <w:kern w:val="2"/>
          <w:sz w:val="32"/>
          <w:szCs w:val="32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32"/>
        </w:rPr>
        <w:t>附件1：</w:t>
      </w:r>
    </w:p>
    <w:p w14:paraId="17DEB10D">
      <w:pPr>
        <w:spacing w:line="594" w:lineRule="exact"/>
        <w:jc w:val="center"/>
        <w:rPr>
          <w:rFonts w:ascii="方正小标宋简体" w:hAnsi="方正小标宋简体" w:eastAsia="方正小标宋简体" w:cs="方正小标宋简体"/>
          <w:snapToGrid/>
          <w:kern w:val="2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napToGrid/>
          <w:kern w:val="2"/>
          <w:sz w:val="36"/>
          <w:szCs w:val="36"/>
        </w:rPr>
        <w:t>采购需求</w:t>
      </w:r>
    </w:p>
    <w:tbl>
      <w:tblPr>
        <w:tblStyle w:val="4"/>
        <w:tblW w:w="144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1"/>
        <w:gridCol w:w="11991"/>
        <w:gridCol w:w="907"/>
      </w:tblGrid>
      <w:tr w14:paraId="22476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1521" w:type="dxa"/>
            <w:vAlign w:val="center"/>
          </w:tcPr>
          <w:p w14:paraId="094652E1">
            <w:pPr>
              <w:widowControl/>
              <w:spacing w:line="594" w:lineRule="exact"/>
              <w:jc w:val="center"/>
              <w:rPr>
                <w:rFonts w:ascii="仿宋_GB2312" w:hAnsi="仿宋_GB2312" w:eastAsia="仿宋_GB2312" w:cs="仿宋_GB2312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</w:rPr>
              <w:t>名称</w:t>
            </w:r>
          </w:p>
        </w:tc>
        <w:tc>
          <w:tcPr>
            <w:tcW w:w="11991" w:type="dxa"/>
            <w:vAlign w:val="center"/>
          </w:tcPr>
          <w:p w14:paraId="2CFDB105">
            <w:pPr>
              <w:widowControl/>
              <w:spacing w:line="594" w:lineRule="exact"/>
              <w:jc w:val="center"/>
              <w:rPr>
                <w:rFonts w:ascii="仿宋_GB2312" w:hAnsi="仿宋_GB2312" w:eastAsia="仿宋_GB2312" w:cs="仿宋_GB2312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</w:rPr>
              <w:t>需求内容</w:t>
            </w:r>
          </w:p>
        </w:tc>
        <w:tc>
          <w:tcPr>
            <w:tcW w:w="907" w:type="dxa"/>
            <w:vAlign w:val="center"/>
          </w:tcPr>
          <w:p w14:paraId="399FF9BF">
            <w:pPr>
              <w:widowControl/>
              <w:spacing w:line="594" w:lineRule="exact"/>
              <w:jc w:val="center"/>
              <w:rPr>
                <w:rFonts w:ascii="仿宋_GB2312" w:hAnsi="仿宋_GB2312" w:eastAsia="仿宋_GB2312" w:cs="仿宋_GB2312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</w:rPr>
              <w:t>数量</w:t>
            </w:r>
          </w:p>
        </w:tc>
      </w:tr>
      <w:tr w14:paraId="62D05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1" w:type="dxa"/>
            <w:vAlign w:val="center"/>
          </w:tcPr>
          <w:p w14:paraId="6D46D143">
            <w:pPr>
              <w:widowControl/>
              <w:spacing w:line="594" w:lineRule="exact"/>
              <w:jc w:val="both"/>
              <w:rPr>
                <w:rFonts w:ascii="仿宋_GB2312" w:hAnsi="仿宋_GB2312" w:eastAsia="仿宋" w:cs="仿宋_GB2312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2025年结核病防治知识宣传科普动画制作服务</w:t>
            </w:r>
          </w:p>
        </w:tc>
        <w:tc>
          <w:tcPr>
            <w:tcW w:w="11991" w:type="dxa"/>
            <w:vAlign w:val="center"/>
          </w:tcPr>
          <w:p w14:paraId="6FA9137D">
            <w:pPr>
              <w:widowControl/>
              <w:kinsoku/>
              <w:spacing w:line="580" w:lineRule="exact"/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一、项目概况</w:t>
            </w:r>
          </w:p>
          <w:p w14:paraId="66EB3F9D">
            <w:pPr>
              <w:widowControl/>
              <w:kinsoku/>
              <w:spacing w:line="580" w:lineRule="exact"/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为进一步提高人民群众及中小学生对结核病的整体认知和警惕性，普及结核病核心知识，我中心计划制作两期科普动画视频。包括但不限于在学校、医院等室内大型电子显示屏，公共场所多媒体平台、自媒体平台等媒体上进行播放。</w:t>
            </w:r>
          </w:p>
          <w:p w14:paraId="14648182">
            <w:pPr>
              <w:widowControl/>
              <w:kinsoku/>
              <w:spacing w:line="580" w:lineRule="exact"/>
              <w:ind w:firstLine="560" w:firstLineChars="200"/>
              <w:jc w:val="both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二、采购内容要求</w:t>
            </w:r>
          </w:p>
          <w:p w14:paraId="5C35B6A8">
            <w:pPr>
              <w:widowControl/>
              <w:kinsoku/>
              <w:spacing w:line="580" w:lineRule="exact"/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1.视频一（学校版）：面向广大中小学生及教职工，通过生动有趣的动画形式，普及结核病核心知识，强调在学校环境中的预防措施，倡导健康的学习生活方式。</w:t>
            </w:r>
          </w:p>
          <w:p w14:paraId="0533F680">
            <w:pPr>
              <w:widowControl/>
              <w:kinsoku/>
              <w:spacing w:line="580" w:lineRule="exact"/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视频二（大众版）：面向社会普通公众，提高对结核病的整体认知和警惕性，介绍结核病的传播途径、典型症状等，强调“早发现、早诊断、早治疗”的重要性，营造全社会共同防治结核病的良好氛围。</w:t>
            </w:r>
          </w:p>
          <w:p w14:paraId="2FB6C271">
            <w:pPr>
              <w:widowControl/>
              <w:kinsoku/>
              <w:spacing w:line="580" w:lineRule="exact"/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2.科普宣传动画视频以德阳疾控官方安仔结核病防治志愿者为主角，增强系列作品的辨识度和亲和力。</w:t>
            </w:r>
          </w:p>
          <w:p w14:paraId="16D6EBD1">
            <w:pPr>
              <w:widowControl/>
              <w:kinsoku/>
              <w:spacing w:line="580" w:lineRule="exact"/>
              <w:ind w:firstLine="560" w:firstLineChars="200"/>
              <w:jc w:val="both"/>
              <w:rPr>
                <w:rFonts w:ascii="仿宋_GB2312" w:hAnsi="仿宋_GB2312" w:eastAsia="仿宋_GB2312" w:cs="仿宋_GB2312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动画需为二维或三维动画，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每个动画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时长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120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秒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左右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，分辨率为1920×1080（300dpi），帧速率为25fps及以上，色彩模式为RGB，交付格式为MP4（H.264编码）+工程文件。</w:t>
            </w:r>
          </w:p>
          <w:p w14:paraId="122F2755">
            <w:pPr>
              <w:pStyle w:val="2"/>
              <w:widowControl/>
              <w:spacing w:beforeAutospacing="0" w:afterAutospacing="0" w:line="580" w:lineRule="exact"/>
              <w:ind w:firstLine="560" w:firstLineChars="200"/>
              <w:jc w:val="both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bidi="ar-SA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8"/>
                <w:szCs w:val="28"/>
                <w:shd w:val="clear" w:color="auto" w:fill="FFFFFF"/>
              </w:rPr>
              <w:t>动画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8"/>
                <w:szCs w:val="28"/>
                <w:shd w:val="clear" w:color="auto" w:fill="FFFFFF"/>
                <w:lang w:eastAsia="zh-CN"/>
              </w:rPr>
              <w:t>须具备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8"/>
                <w:szCs w:val="28"/>
                <w:shd w:val="clear" w:color="auto" w:fill="FFFFFF"/>
              </w:rPr>
              <w:t>完整、有吸引力的故事情节，不得简单说教。</w:t>
            </w:r>
          </w:p>
          <w:p w14:paraId="61B7A37D">
            <w:pPr>
              <w:widowControl/>
              <w:kinsoku/>
              <w:spacing w:line="580" w:lineRule="exact"/>
              <w:ind w:firstLine="560" w:firstLineChars="200"/>
              <w:jc w:val="both"/>
              <w:rPr>
                <w:rFonts w:ascii="仿宋_GB2312" w:hAnsi="仿宋_GB2312" w:eastAsia="仿宋_GB2312" w:cs="仿宋_GB2312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</w:rPr>
              <w:t>5.项目承接方需有科普动画制作的丰富经验，根据提供的科普资料，撰写动画脚本，通过甲方审核后方能制作。品质上要达到表意清晰，叙事连贯，结构紧凑，动作流畅，色彩稳重，音效和谐。</w:t>
            </w:r>
          </w:p>
          <w:p w14:paraId="246CEC7B">
            <w:pPr>
              <w:widowControl/>
              <w:kinsoku/>
              <w:spacing w:line="580" w:lineRule="exact"/>
              <w:ind w:firstLine="560" w:firstLineChars="200"/>
              <w:jc w:val="both"/>
              <w:rPr>
                <w:rFonts w:ascii="仿宋_GB2312" w:hAnsi="仿宋_GB2312" w:eastAsia="仿宋_GB2312" w:cs="仿宋_GB2312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</w:rPr>
              <w:t>6.作品需为原创，具有独立知识产权，不得抄袭，中标动画版权归德阳市疾病预防控制中心所有。</w:t>
            </w:r>
          </w:p>
          <w:p w14:paraId="20784D27">
            <w:pPr>
              <w:widowControl/>
              <w:kinsoku/>
              <w:spacing w:line="580" w:lineRule="exact"/>
              <w:ind w:firstLine="560" w:firstLineChars="200"/>
              <w:jc w:val="both"/>
              <w:rPr>
                <w:rFonts w:ascii="仿宋_GB2312" w:hAnsi="仿宋_GB2312" w:eastAsia="仿宋_GB2312" w:cs="仿宋_GB2312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</w:rPr>
              <w:t>三、</w:t>
            </w: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  <w:t>其他</w:t>
            </w:r>
          </w:p>
          <w:p w14:paraId="3696B585">
            <w:pPr>
              <w:widowControl/>
              <w:kinsoku/>
              <w:spacing w:line="580" w:lineRule="exact"/>
              <w:ind w:firstLine="560" w:firstLineChars="200"/>
              <w:jc w:val="both"/>
              <w:rPr>
                <w:rFonts w:ascii="仿宋_GB2312" w:hAnsi="仿宋_GB2312" w:eastAsia="仿宋_GB2312" w:cs="仿宋_GB2312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</w:rPr>
              <w:t>1.</w:t>
            </w:r>
            <w:r>
              <w:rPr>
                <w:rFonts w:ascii="仿宋_GB2312" w:hAnsi="仿宋_GB2312" w:eastAsia="仿宋_GB2312" w:cs="仿宋_GB2312"/>
                <w:snapToGrid/>
                <w:kern w:val="2"/>
                <w:sz w:val="28"/>
                <w:szCs w:val="28"/>
              </w:rPr>
              <w:t>本项目实行总价</w:t>
            </w: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</w:rPr>
              <w:t>包干</w:t>
            </w:r>
            <w:r>
              <w:rPr>
                <w:rFonts w:ascii="仿宋_GB2312" w:hAnsi="仿宋_GB2312" w:eastAsia="仿宋_GB2312" w:cs="仿宋_GB2312"/>
                <w:snapToGrid/>
                <w:kern w:val="2"/>
                <w:sz w:val="28"/>
                <w:szCs w:val="28"/>
              </w:rPr>
              <w:t>，报价含脚本撰写、分镜绘制、原画绘制、动画制作、配音及后期</w:t>
            </w: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</w:rPr>
              <w:t>等</w:t>
            </w:r>
            <w:r>
              <w:rPr>
                <w:rFonts w:ascii="仿宋_GB2312" w:hAnsi="仿宋_GB2312" w:eastAsia="仿宋_GB2312" w:cs="仿宋_GB2312"/>
                <w:snapToGrid/>
                <w:kern w:val="2"/>
                <w:sz w:val="28"/>
                <w:szCs w:val="28"/>
              </w:rPr>
              <w:t>采购人指定服务范围内的全部价格，至少包括：服务的价格（包括人工、材料、设备等）；必要的保险费用和各项税金；与本项目有关的其他一切费用。采购人不再支付成交价格以外的任何费用。</w:t>
            </w:r>
          </w:p>
          <w:p w14:paraId="10E4D5D4">
            <w:pPr>
              <w:widowControl/>
              <w:kinsoku/>
              <w:spacing w:line="580" w:lineRule="exact"/>
              <w:ind w:firstLine="560" w:firstLineChars="200"/>
              <w:jc w:val="both"/>
              <w:rPr>
                <w:rFonts w:ascii="仿宋_GB2312" w:hAnsi="仿宋_GB2312" w:eastAsia="仿宋_GB2312" w:cs="仿宋_GB2312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</w:rPr>
              <w:t>2.项目承接方需在</w:t>
            </w: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val="en-US" w:eastAsia="zh-CN"/>
              </w:rPr>
              <w:t>中标后两个月内</w:t>
            </w: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</w:rPr>
              <w:t>完成所有制作。</w:t>
            </w:r>
          </w:p>
        </w:tc>
        <w:tc>
          <w:tcPr>
            <w:tcW w:w="907" w:type="dxa"/>
            <w:vAlign w:val="center"/>
          </w:tcPr>
          <w:p w14:paraId="280C601B">
            <w:pPr>
              <w:widowControl/>
              <w:spacing w:line="594" w:lineRule="exact"/>
              <w:jc w:val="center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val="en-US" w:eastAsia="zh-CN"/>
              </w:rPr>
              <w:t>2</w:t>
            </w:r>
          </w:p>
        </w:tc>
      </w:tr>
    </w:tbl>
    <w:p w14:paraId="3278D9C5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E44BFB"/>
    <w:rsid w:val="25241480"/>
    <w:rsid w:val="45CA07C3"/>
    <w:rsid w:val="4ED13930"/>
    <w:rsid w:val="5C291BD6"/>
    <w:rsid w:val="6A00204D"/>
    <w:rsid w:val="782C60F0"/>
    <w:rsid w:val="7CE4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2025-09-24T03:29:00Z</dcterms:created>
  <dc:creator>李静</dc:creator>
  <cp:lastModifiedBy>李静</cp:lastModifiedBy>
  <dcterms:modified xsi:type="dcterms:W3CDTF">2025-09-24T03:31:04Z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A77F8F85757E4C66A049B10A1C14047F_11</vt:lpwstr>
  </property>
  <property fmtid="{D5CDD505-2E9C-101B-9397-08002B2CF9AE}" pid="4" name="KSOTemplateDocerSaveRecord">
    <vt:lpwstr>eyJoZGlkIjoiNzkxNDlhNjlmNDFjOWY1Y2IwMTcwYjM2MjZhMDhjNWUiLCJ1c2VySWQiOiIxNjU3MDA1MTkxIn0=</vt:lpwstr>
  </property>
</Properties>
</file>